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36"/>
        </w:rPr>
        <w:t>THE COUNTER-CANON</w:t>
      </w:r>
    </w:p>
    <w:p>
      <w:pPr>
        <w:spacing w:before="0" w:after="40"/>
        <w:jc w:val="center"/>
      </w:pPr>
      <w:r>
        <w:rPr>
          <w:rFonts w:ascii="Arial" w:hAnsi="Arial"/>
          <w:b w:val="0"/>
          <w:i/>
          <w:color w:val="222244"/>
          <w:sz w:val="26"/>
        </w:rPr>
        <w:t>A Dictionary of Living Law</w:t>
      </w:r>
    </w:p>
    <w:p>
      <w:pPr>
        <w:spacing w:before="120" w:after="120"/>
        <w:jc w:val="center"/>
        <w:pBdr>
          <w:bottom w:val="single" w:sz="10" w:space="1" w:color="1a1a2e"/>
        </w:pBdr>
      </w:pPr>
    </w:p>
    <w:p>
      <w:pPr>
        <w:spacing w:before="80" w:after="40"/>
        <w:jc w:val="center"/>
      </w:pPr>
      <w:r>
        <w:rPr>
          <w:rFonts w:ascii="Arial" w:hAnsi="Arial"/>
          <w:b/>
          <w:i w:val="0"/>
          <w:color w:val="1A1A2E"/>
          <w:sz w:val="24"/>
        </w:rPr>
        <w:t>VOLUME TWO</w:t>
      </w:r>
    </w:p>
    <w:p>
      <w:pPr>
        <w:spacing w:before="0" w:after="40"/>
        <w:jc w:val="center"/>
      </w:pPr>
      <w:r>
        <w:rPr>
          <w:rFonts w:ascii="Arial" w:hAnsi="Arial"/>
          <w:b w:val="0"/>
          <w:i w:val="0"/>
          <w:color w:val="555577"/>
          <w:sz w:val="22"/>
        </w:rPr>
        <w:t>C  |  D  |  E  |  J  |  O  |  P  |  R  |  T</w:t>
      </w:r>
    </w:p>
    <w:p>
      <w:pPr>
        <w:spacing w:before="0" w:after="20"/>
        <w:jc w:val="center"/>
      </w:pPr>
      <w:r>
        <w:rPr>
          <w:rFonts w:ascii="Arial" w:hAnsi="Arial"/>
          <w:b w:val="0"/>
          <w:i/>
          <w:color w:val="222244"/>
          <w:sz w:val="20"/>
        </w:rPr>
        <w:t>Contract  |  Consent  |  Crime  |  Punishment  |  Debt  |  Obligation</w:t>
      </w:r>
    </w:p>
    <w:p>
      <w:pPr>
        <w:spacing w:before="0" w:after="160"/>
        <w:jc w:val="center"/>
      </w:pPr>
      <w:r>
        <w:rPr>
          <w:rFonts w:ascii="Arial" w:hAnsi="Arial"/>
          <w:b w:val="0"/>
          <w:i/>
          <w:color w:val="222244"/>
          <w:sz w:val="20"/>
        </w:rPr>
        <w:t>Evidence  |  Truth  |  Jurisdiction  |  Authority  |  Rights  |  Privileges  |  Tax  |  Tribute</w:t>
      </w:r>
    </w:p>
    <w:p>
      <w:pPr>
        <w:spacing w:before="8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  |  First Edition</w:t>
      </w:r>
    </w:p>
    <w:p>
      <w:pPr>
        <w:spacing w:before="0" w:after="40"/>
        <w:jc w:val="center"/>
      </w:pPr>
      <w:r>
        <w:rPr>
          <w:rFonts w:ascii="Arial" w:hAnsi="Arial"/>
          <w:b w:val="0"/>
          <w:i/>
          <w:color w:val="004D4D"/>
          <w:sz w:val="18"/>
        </w:rPr>
        <w:t>The Transactional and Coercive Words</w:t>
      </w:r>
    </w:p>
    <w:p>
      <w:pPr>
        <w:spacing w:before="0" w:after="160"/>
        <w:jc w:val="center"/>
      </w:pPr>
      <w:r>
        <w:rPr>
          <w:rFonts w:ascii="Arial" w:hAnsi="Arial"/>
          <w:b w:val="0"/>
          <w:i/>
          <w:color w:val="555577"/>
          <w:sz w:val="18"/>
        </w:rPr>
        <w:t>Open Access  |  Claude API Powered  |  Amendment Record Architecture</w:t>
      </w:r>
    </w:p>
    <w:p>
      <w:r>
        <w:br w:type="page"/>
      </w:r>
    </w:p>
    <w:p>
      <w:pPr>
        <w:spacing w:before="0" w:after="120"/>
        <w:jc w:val="center"/>
      </w:pPr>
      <w:r>
        <w:rPr>
          <w:rFonts w:ascii="Arial" w:hAnsi="Arial"/>
          <w:b/>
          <w:i w:val="0"/>
          <w:color w:val="1A1A2E"/>
          <w:sz w:val="22"/>
        </w:rPr>
        <w:t>EDITOR'S NOTE: VOLUME TWO</w:t>
      </w:r>
    </w:p>
    <w:p>
      <w:pPr>
        <w:spacing w:before="0" w:after="120"/>
        <w:jc w:val="both"/>
      </w:pPr>
      <w:r>
        <w:rPr>
          <w:rFonts w:ascii="Arial" w:hAnsi="Arial"/>
          <w:b w:val="0"/>
          <w:i w:val="0"/>
          <w:color w:val="000000"/>
          <w:sz w:val="21"/>
        </w:rPr>
        <w:t>Volume One established the foundational words — the terms that define the living being's existence and relationship to the State. Volume Two enters darker territory. These are the transactional and coercive words: the language the system uses to bind the living being to obligations they did not freely choose, to extract from them what they did not freely give, and to punish them for resistance they had every right to make. Contract. Consent. Crime. Punishment. Debt. Obligation. Evidence. Truth. Jurisdiction. Authority. Rights. Privileges. Tax. Tribute.</w:t>
      </w:r>
    </w:p>
    <w:p>
      <w:pPr>
        <w:spacing w:before="0" w:after="120"/>
        <w:jc w:val="both"/>
      </w:pPr>
      <w:r>
        <w:rPr>
          <w:rFonts w:ascii="Arial" w:hAnsi="Arial"/>
          <w:b w:val="0"/>
          <w:i w:val="0"/>
          <w:color w:val="000000"/>
          <w:sz w:val="21"/>
        </w:rPr>
        <w:t>Each of these words carries a history of weaponization against the living being of African and indigenous descent. Each of them also carries, within the law's own text, the seeds of its own correction. Volume Two finds those seeds — in the same cases, the same statutes, the same constitutional provisions, and the same international instruments the system uses against the living being — and makes them visible.</w:t>
      </w:r>
    </w:p>
    <w:p>
      <w:pPr>
        <w:spacing w:before="0" w:after="200"/>
        <w:jc w:val="center"/>
      </w:pPr>
      <w:r>
        <w:rPr>
          <w:rFonts w:ascii="Arial" w:hAnsi="Arial"/>
          <w:b w:val="0"/>
          <w:i/>
          <w:color w:val="222244"/>
          <w:sz w:val="21"/>
        </w:rPr>
        <w:t>Nothing is absolute but Truth. Volume Two finds it in fourteen more words.</w:t>
      </w:r>
    </w:p>
    <w:p>
      <w:pPr>
        <w:spacing w:before="80" w:after="40"/>
        <w:jc w:val="right"/>
      </w:pPr>
      <w:r>
        <w:rPr>
          <w:rFonts w:ascii="Arial" w:hAnsi="Arial"/>
          <w:b/>
          <w:i w:val="0"/>
          <w:color w:val="1A1A2E"/>
          <w:sz w:val="21"/>
        </w:rPr>
        <w:t>Rickey Allan Howard</w:t>
      </w:r>
    </w:p>
    <w:p>
      <w:pPr>
        <w:spacing w:before="0" w:after="120"/>
        <w:jc w:val="right"/>
      </w:pPr>
      <w:r>
        <w:rPr>
          <w:rFonts w:ascii="Arial" w:hAnsi="Arial"/>
          <w:b w:val="0"/>
          <w:i/>
          <w:color w:val="555577"/>
          <w:sz w:val="21"/>
        </w:rPr>
        <w:t>Athens, Georgia | 2026</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C  —  Contract</w:t>
      </w:r>
    </w:p>
    <w:p>
      <w:pPr>
        <w:spacing w:before="40" w:after="40"/>
        <w:ind w:left="288"/>
        <w:jc w:val="left"/>
      </w:pPr>
      <w:r>
        <w:rPr>
          <w:rFonts w:ascii="Arial" w:hAnsi="Arial"/>
          <w:b w:val="0"/>
          <w:i w:val="0"/>
          <w:color w:val="000000"/>
          <w:sz w:val="21"/>
        </w:rPr>
        <w:t>C  —  Consent</w:t>
      </w:r>
    </w:p>
    <w:p>
      <w:pPr>
        <w:spacing w:before="40" w:after="40"/>
        <w:ind w:left="288"/>
        <w:jc w:val="left"/>
      </w:pPr>
      <w:r>
        <w:rPr>
          <w:rFonts w:ascii="Arial" w:hAnsi="Arial"/>
          <w:b w:val="0"/>
          <w:i w:val="0"/>
          <w:color w:val="000000"/>
          <w:sz w:val="21"/>
        </w:rPr>
        <w:t>C  —  Crime</w:t>
      </w:r>
    </w:p>
    <w:p>
      <w:pPr>
        <w:spacing w:before="40" w:after="40"/>
        <w:ind w:left="288"/>
        <w:jc w:val="left"/>
      </w:pPr>
      <w:r>
        <w:rPr>
          <w:rFonts w:ascii="Arial" w:hAnsi="Arial"/>
          <w:b w:val="0"/>
          <w:i w:val="0"/>
          <w:color w:val="000000"/>
          <w:sz w:val="21"/>
        </w:rPr>
        <w:t>D  —  Debt</w:t>
      </w:r>
    </w:p>
    <w:p>
      <w:pPr>
        <w:spacing w:before="40" w:after="40"/>
        <w:ind w:left="288"/>
        <w:jc w:val="left"/>
      </w:pPr>
      <w:r>
        <w:rPr>
          <w:rFonts w:ascii="Arial" w:hAnsi="Arial"/>
          <w:b w:val="0"/>
          <w:i w:val="0"/>
          <w:color w:val="000000"/>
          <w:sz w:val="21"/>
        </w:rPr>
        <w:t>E  —  Evidence</w:t>
      </w:r>
    </w:p>
    <w:p>
      <w:pPr>
        <w:spacing w:before="40" w:after="40"/>
        <w:ind w:left="288"/>
        <w:jc w:val="left"/>
      </w:pPr>
      <w:r>
        <w:rPr>
          <w:rFonts w:ascii="Arial" w:hAnsi="Arial"/>
          <w:b w:val="0"/>
          <w:i w:val="0"/>
          <w:color w:val="000000"/>
          <w:sz w:val="21"/>
        </w:rPr>
        <w:t>J  —  Jurisdiction</w:t>
      </w:r>
    </w:p>
    <w:p>
      <w:pPr>
        <w:spacing w:before="40" w:after="40"/>
        <w:ind w:left="288"/>
        <w:jc w:val="left"/>
      </w:pPr>
      <w:r>
        <w:rPr>
          <w:rFonts w:ascii="Arial" w:hAnsi="Arial"/>
          <w:b w:val="0"/>
          <w:i w:val="0"/>
          <w:color w:val="000000"/>
          <w:sz w:val="21"/>
        </w:rPr>
        <w:t>O  —  Obligation</w:t>
      </w:r>
    </w:p>
    <w:p>
      <w:pPr>
        <w:spacing w:before="40" w:after="40"/>
        <w:ind w:left="288"/>
        <w:jc w:val="left"/>
      </w:pPr>
      <w:r>
        <w:rPr>
          <w:rFonts w:ascii="Arial" w:hAnsi="Arial"/>
          <w:b w:val="0"/>
          <w:i w:val="0"/>
          <w:color w:val="000000"/>
          <w:sz w:val="21"/>
        </w:rPr>
        <w:t>P  —  Punishment</w:t>
      </w:r>
    </w:p>
    <w:p>
      <w:pPr>
        <w:spacing w:before="40" w:after="40"/>
        <w:ind w:left="288"/>
        <w:jc w:val="left"/>
      </w:pPr>
      <w:r>
        <w:rPr>
          <w:rFonts w:ascii="Arial" w:hAnsi="Arial"/>
          <w:b w:val="0"/>
          <w:i w:val="0"/>
          <w:color w:val="000000"/>
          <w:sz w:val="21"/>
        </w:rPr>
        <w:t>P  —  Privileges</w:t>
      </w:r>
    </w:p>
    <w:p>
      <w:pPr>
        <w:spacing w:before="40" w:after="40"/>
        <w:ind w:left="288"/>
        <w:jc w:val="left"/>
      </w:pPr>
      <w:r>
        <w:rPr>
          <w:rFonts w:ascii="Arial" w:hAnsi="Arial"/>
          <w:b w:val="0"/>
          <w:i w:val="0"/>
          <w:color w:val="000000"/>
          <w:sz w:val="21"/>
        </w:rPr>
        <w:t>R  —  Rights</w:t>
      </w:r>
    </w:p>
    <w:p>
      <w:pPr>
        <w:spacing w:before="40" w:after="40"/>
        <w:ind w:left="288"/>
        <w:jc w:val="left"/>
      </w:pPr>
      <w:r>
        <w:rPr>
          <w:rFonts w:ascii="Arial" w:hAnsi="Arial"/>
          <w:b w:val="0"/>
          <w:i w:val="0"/>
          <w:color w:val="000000"/>
          <w:sz w:val="21"/>
        </w:rPr>
        <w:t>T  —  Tax</w:t>
      </w:r>
    </w:p>
    <w:p>
      <w:pPr>
        <w:spacing w:before="40" w:after="40"/>
        <w:ind w:left="288"/>
        <w:jc w:val="left"/>
      </w:pPr>
      <w:r>
        <w:rPr>
          <w:rFonts w:ascii="Arial" w:hAnsi="Arial"/>
          <w:b w:val="0"/>
          <w:i w:val="0"/>
          <w:color w:val="000000"/>
          <w:sz w:val="21"/>
        </w:rPr>
        <w:t>T  —  Tribute</w:t>
      </w:r>
    </w:p>
    <w:p>
      <w:pPr>
        <w:spacing w:before="40" w:after="40"/>
        <w:ind w:left="288"/>
        <w:jc w:val="left"/>
      </w:pPr>
      <w:r>
        <w:rPr>
          <w:rFonts w:ascii="Arial" w:hAnsi="Arial"/>
          <w:b w:val="0"/>
          <w:i w:val="0"/>
          <w:color w:val="000000"/>
          <w:sz w:val="21"/>
        </w:rPr>
        <w:t>T  —  Truth</w:t>
      </w:r>
    </w:p>
    <w:p>
      <w:pPr>
        <w:spacing w:before="40" w:after="40"/>
        <w:ind w:left="288"/>
        <w:jc w:val="left"/>
      </w:pPr>
      <w:r>
        <w:rPr>
          <w:rFonts w:ascii="Arial" w:hAnsi="Arial"/>
          <w:b w:val="0"/>
          <w:i w:val="0"/>
          <w:color w:val="000000"/>
          <w:sz w:val="21"/>
        </w:rPr>
        <w:t>Amendment Record</w:t>
      </w:r>
    </w:p>
    <w:p>
      <w:pPr>
        <w:spacing w:before="40" w:after="40"/>
        <w:ind w:left="288"/>
        <w:jc w:val="left"/>
      </w:pPr>
      <w:r>
        <w:rPr>
          <w:rFonts w:ascii="Arial" w:hAnsi="Arial"/>
          <w:b w:val="0"/>
          <w:i w:val="0"/>
          <w:color w:val="000000"/>
          <w:sz w:val="21"/>
        </w:rPr>
        <w:t>Table of Authorities</w:t>
      </w:r>
    </w:p>
    <w:p>
      <w:r>
        <w:br w:type="page"/>
      </w:r>
    </w:p>
    <w:p>
      <w:r>
        <w:br w:type="page"/>
      </w:r>
    </w:p>
    <w:p>
      <w:pPr>
        <w:spacing w:before="0" w:after="80"/>
        <w:jc w:val="center"/>
      </w:pPr>
      <w:r>
        <w:rPr>
          <w:rFonts w:ascii="Arial" w:hAnsi="Arial"/>
          <w:b/>
          <w:i w:val="0"/>
          <w:color w:val="1A1A2E"/>
          <w:sz w:val="72"/>
        </w:rPr>
        <w:t>C</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CONTRACT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promise or set of promises for the breach of which the law gives a remedy, or the performance of which the law in some way recognizes as a duty. An agreement between two or more parties creating obligations that are enforceable or otherwise recognizable at law. The essential elements are: offer, acceptance, and consideration.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contract assumes that any agreement meeting the technical requirements of offer, acceptance, and consideration is enforceable — regardless of the circumstances under which it was made. This assumption erases the history of coerced contracting that has defined the economic experience of Black Americans. The sharecropping contracts that replaced slavery were technically contracts — there was offer, acceptance, and consideration. The debt peonage arrangements that trapped Black laborers in conditions indistinguishable from slavery were technically contracts. The predatory mortgage contracts that stripped Black families of wealth during the subprime crisis were technically contracts. The embedded assumption is that technical compliance with contract formation requirements produces a legitimate agreement — even when one party contracted under duress, under conditions of extreme power imbalance, or without meaningful choice. The law has recognized exceptions to this assumption — duress, unconscionability, fraud — but has applied them inconsistently, rarely extending them to the structural coercion that has shaped Black economic life.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contract is a freely made agreement between parties of substantially equal bargaining power, where both parties have genuine choice, full information, and the ability to walk away without devastating consequence. Where these conditions are absent, what exists may satisfy the technical requirements of contract formation but fails the moral and legal standard of a genuinely voluntary agreement. The law's own doctrine of unconscionability recognizes this: a contract is unenforceable when it is so one-sided as to be oppressive and unfair, particularly when there is a significant disparity in bargaining power. Williams v. Walker-Thomas Furniture Co., 350 F.2d 445 (D.C. Cir. 1965). The Thirteenth Amendment's abolition of peonage — Clyatt v. United States, 197 U.S. 207 (1905) — establishes the constitutional principle that no contract can lawfully bind a person to labor through coercion or debt. The social contract itself — the foundational agreement the State claims as its source of authority — is not a contract in any meaningful sense for those whose ancestors were excluded from its formation. A contract that binds only those who did not consent to it is not a contract. It is a declaration of power.</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Williams v. Walker-Thomas Furniture Co., 350 F.2d 445 (D.C. Cir. 1965): unconscionability doctrine. Clyatt v. United States, 197 U.S. 207 (1905): debt peonage as involuntary servitude. U.S. Const. amend. XIII: no contract may bind a person to involuntary servitude. Restatement (Second) of Contracts section 208: unconscionable contract. UCC section 2-302: unconscionability in commercial contracts. Declaration of Independence (1776): legitimate government derives from consent of the governed — the foundational statement that consent is a prerequisite for binding obligation.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contract — employment, lease, loan, service agreement — was entered under conditions of duress, extreme power imbalance, or without genuine choice, challenge its enforceability on grounds of unconscionability, duress, or coercion. When any debt obligation arising from a contract effectively constitutes compelled labor, assert the Thirteenth Amendment peonage prohibition. The technical existence of a contract does not end the inquiry. The conditions of formation determine whether the agreement deserves the law's enforcement.</w:t>
      </w:r>
    </w:p>
    <w:p>
      <w:pPr>
        <w:spacing w:before="120" w:after="120"/>
        <w:ind w:left="432" w:right="432"/>
        <w:jc w:val="center"/>
      </w:pPr>
      <w:r>
        <w:rPr>
          <w:rFonts w:ascii="Arial" w:hAnsi="Arial"/>
          <w:b w:val="0"/>
          <w:i/>
          <w:color w:val="7A5C00"/>
          <w:sz w:val="22"/>
        </w:rPr>
        <w:t>No one is bound by an agreement they had no real power to refuse. A signature extracted under duress is not consent. It is evidence of coercion.</w:t>
      </w:r>
    </w:p>
    <w:p>
      <w:pPr>
        <w:spacing w:before="240" w:after="40"/>
        <w:jc w:val="left"/>
        <w:pBdr>
          <w:bottom w:val="single" w:sz="3" w:space="1" w:color="444466"/>
        </w:pBdr>
      </w:pPr>
      <w:r>
        <w:rPr>
          <w:rFonts w:ascii="Arial" w:hAnsi="Arial"/>
          <w:b/>
          <w:i w:val="0"/>
          <w:color w:val="222244"/>
          <w:sz w:val="24"/>
        </w:rPr>
        <w:t>CONSENT</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voluntary yielding to what another proposes or desires; agreement, approval, or permission as to some act or purpose. Actual willingness that an act or an infringement of an interest shall occur. In criminal law, the voluntary agreement to another's proposition.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consent treats it as a binary — either present or absent — and locates it in the moment of agreement rather than in the conditions that produced that moment. This assumption ignores the structural dimensions of consent: that genuine consent requires not merely the absence of explicit force but the presence of genuine alternatives. A person who agrees to terms because the only alternative is destitution has not consented in any meaningful sense. A people whose ancestors were brought to this continent in chains and who have never been presented with a genuine alternative to participation in the system that enslaved them have not consented to that system. The dominant definition of consent has been used to legitimize the social contract against those who had no role in forming it, to enforce economic agreements made under structural coercion, and to treat the absence of explicit resistance as evidence of agreement.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Consent is the free, informed, and genuinely voluntary agreement of a person who has meaningful alternatives and full information about what they are agreeing to. It requires the actual ability to say no without devastating consequence. The law recognizes this fuller understanding in multiple contexts: informed consent in medical law requires disclosure of material information before a patient's agreement is valid; Miranda v. Arizona, 384 U.S. 436 (1966), requires that a person be informed of their rights before any waiver of those rights is valid; Schneckloth v. Bustamonte, 412 U.S. 218 (1973), while permitting warrantless searches with consent, acknowledged that the voluntariness of consent must be assessed from the totality of circumstances. The common thread is that consent is not a magic word that ends legal inquiry — it is a condition that must actually exist. Where structural coercion, power imbalance, or lack of information corrupts the conditions of agreement, what appears as consent is not consent in the law's own fullest meaning.</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Miranda v. Arizona, 384 U.S. 436 (1966): waiver of rights requires informed and voluntary consent. Schneckloth v. Bustamonte, 412 U.S. 218 (1973): voluntariness assessed from totality of circumstances. Moran v. Burbine, 475 U.S. 412 (1986). Declaration of Independence (1776): consent of the governed as the foundation of legitimate authority. ICCPR, Article 7: no one shall be subjected without their free consent to medical or scientific experimentation. ILO Convention No. 29: forced labor defined as work not offered voluntarily.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government agent claims you consented to a search, a statement, a waiver of rights, or any government action, challenge the conditions of that consent: Were you informed of your rights? Did you have genuine alternatives? Were you under duress, fear, or coercion? The totality of circumstances determines whether consent was genuine. The word 'yes' alone does not establish it.</w:t>
      </w:r>
    </w:p>
    <w:p>
      <w:pPr>
        <w:spacing w:before="120" w:after="120"/>
        <w:ind w:left="432" w:right="432"/>
        <w:jc w:val="center"/>
      </w:pPr>
      <w:r>
        <w:rPr>
          <w:rFonts w:ascii="Arial" w:hAnsi="Arial"/>
          <w:b w:val="0"/>
          <w:i/>
          <w:color w:val="7A5C00"/>
          <w:sz w:val="22"/>
        </w:rPr>
        <w:t>You cannot consent to what you do not understand, and you cannot freely choose what you cannot refuse. Consent without alternatives is compliance. The law knows the difference.</w:t>
      </w:r>
    </w:p>
    <w:p>
      <w:pPr>
        <w:spacing w:before="200" w:after="200"/>
        <w:jc w:val="center"/>
        <w:pBdr>
          <w:bottom w:val="single" w:sz="4" w:space="1" w:color="1a1a2e"/>
        </w:pBdr>
      </w:pPr>
    </w:p>
    <w:p>
      <w:pPr>
        <w:spacing w:before="360" w:after="40"/>
        <w:jc w:val="left"/>
        <w:pBdr>
          <w:bottom w:val="single" w:sz="6" w:space="1" w:color="1a1a2e"/>
        </w:pBdr>
      </w:pPr>
      <w:r>
        <w:rPr>
          <w:rFonts w:ascii="Arial" w:hAnsi="Arial"/>
          <w:b/>
          <w:i w:val="0"/>
          <w:color w:val="1A1A2E"/>
          <w:sz w:val="30"/>
        </w:rPr>
        <w:t>CRIME</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An act that the law makes punishable; the breach of a legal duty treated as the subject matter of a criminal proceeding. A positive or negative act in violation of penal law; an offense against the State. Any offense for which the law prescribes punishment.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crime is deceptively circular: a crime is whatever the law says is a crime. This circularity is not accidental. It places the power to define criminality entirely in the hands of those who write the law — and the history of American criminal law is the history of that power being used against Black and indigenous people with systematic precision. The Black Codes of the post-Reconstruction era made it a crime for formerly enslaved persons to be unemployed, to travel without permission, or to violate labor contracts. Jim Crow laws made sitting at a lunch counter a crime for Black Americans. The War on Drugs criminalized conduct that occurred at statistically equal rates across racial groups but was prosecuted at dramatically disparate rates against Black Americans. The embedded assumption is that the definition of crime reflects a neutral moral or social consensus about harmful conduct. It does not. It reflects the interests of those who held legislative power.</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crime, in its legitimate sense, is an act that causes genuine harm to an identifiable person or to the community, for which the State has enacted prohibition through a legitimate, neutral, and equally enforced legal process. The mere fact that an act is prohibited by statute does not make it a crime in the moral and constitutional sense: the statute itself must be constitutional, neutral in application, and not the product of discriminatory legislative purpose. The void for vagueness doctrine establishes that a criminal statute must give fair notice of what conduct is prohibited — Grayned v. City of Rockford, 408 U.S. 104 (1972). The Equal Protection Clause establishes that criminal laws cannot be applied in a racially discriminatory manner — Yick Wo v. Hopkins, 118 U.S. 356 (1886). The First Amendment establishes that the State cannot criminalize protected expression, assembly, or religious practice. And the Thirteenth Amendment establishes that criminal punishment cannot be used as a mechanism for extracting involuntary labor along racial lines — the direct constitutional legacy of convict leasing. A charge that fails any of these requirements is not a legitimate crime. It is the State's power in the guise of law.</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Grayned v. City of Rockford, 408 U.S. 104 (1972): void for vagueness. Yick Wo v. Hopkins, 118 U.S. 356 (1886): racially discriminatory enforcement violates Equal Protection. United States v. Armstrong, 517 U.S. 456 (1996): selective prosecution doctrine. Lawrence v. Texas, 539 U.S. 558 (2003): the State cannot criminalize conduct that causes no identifiable harm and targets a disfavored group. U.S. Const. amend. XIII: criminal punishment exception to prohibition on involuntary servitude. Robinson v. California, 370 U.S. 660 (1962): the Eighth Amendment limits what the State may criminalize.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facing a criminal charge, the first question is not whether the statute was violated — it is whether the statute itself is constitutional, whether it is being applied in a racially neutral manner, and whether the charge reflects a genuine harm or a continuation of the documented pattern of using criminal law to control Black Americans. The void for vagueness challenge, the selective prosecution challenge, and the equal protection challenge are all available before the merits of any charge.</w:t>
      </w:r>
    </w:p>
    <w:p>
      <w:pPr>
        <w:spacing w:before="120" w:after="120"/>
        <w:ind w:left="432" w:right="432"/>
        <w:jc w:val="center"/>
      </w:pPr>
      <w:r>
        <w:rPr>
          <w:rFonts w:ascii="Arial" w:hAnsi="Arial"/>
          <w:b w:val="0"/>
          <w:i/>
          <w:color w:val="7A5C00"/>
          <w:sz w:val="22"/>
        </w:rPr>
        <w:t>The law does not define what is wrong. It reflects the interests of those who wrote it. What is genuinely wrong needs no statute to make it so. What is genuinely right needs no statute to permit it.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D</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DEBT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sum of money due by certain and express agreement; a specified sum owed to another. Something owed or due; an obligation or liability to pay or render something to someone else. The condition of owing something to another.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debt treats it as a neutral financial relationship — something owed arising from a voluntary transaction. This assumption conceals two critical realities. First, the history of debt as a mechanism of racial control: from sharecropping debt that legally bound Black farmers to land they did not own, to the debt peonage system that operated as de facto re-enslavement after the Civil War, to the predatory lending that has systematically stripped Black wealth in the modern era, debt has been weaponized against Black Americans with precision and consistency. Second, the question of what is actually owed and to whom. The United States owes a debt to the descendants of enslaved persons that has never been acknowledged or paid — the unpaid labor of generations, the stolen wealth, the denied opportunity. The dominant definition of debt is never applied to this obligation. It is applied only to the obligations of the living being to creditors, the State, and financial institutions.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Debt, in its full and honest sense, is a bilateral concept: an obligation owed by one party to another, arising from a genuinely voluntary transaction or from a legal duty. It is not one-directional. Where the State and its economic system have extracted value from a people without compensation — through forced labor, discriminatory exclusion from wealth-building, predatory lending, and the systematic denial of economic opportunity — the resulting obligation runs both ways. The Supreme Court in Clyatt v. United States, 197 U.S. 207 (1905), established that debt cannot lawfully be used to compel labor — that peonage, the condition of compulsory service for debt, violates the Thirteenth Amendment. United States v. Reynolds, 235 U.S. 133 (1914), affirmed that criminal punishment cannot be converted into a debt-based labor obligation. These holdings establish the constitutional principle that debt has limits — it cannot be used as a mechanism of coercion or as a substitute for the slavery the Thirteenth Amendment abolished. And the Fair Debt Collection Practices Act, 15 U.S.C. sections 1692 et seq., establishes that even legitimate debt cannot be collected through harassment, deception, or abuse.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Clyatt v. United States, 197 U.S. 207 (1905): debt peonage as involuntary servitude. United States v. Reynolds, 235 U.S. 133 (1914): criminal surety system as peonage. Bailey v. Alabama, 219 U.S. 219 (1911): contract labor law used to create peonage struck down. Fair Debt Collection Practices Act, 15 U.S.C. sections 1692 et seq. U.S. Const. amend. XIII. Jones v. Alfred H. Mayer Co., 392 U.S. 409 (1968): economic badges and incidents of slavery include debt-based exploitation.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debt collection actions are brought against the living being, assert the full counter-definition: challenge the validity of the underlying obligation, challenge the conditions under which the debt was incurred, invoke the FDCPA against any collection abuse, and where the debt operates as a mechanism of coercion or compelled labor, assert the Thirteenth Amendment prohibition on peonage.</w:t>
      </w:r>
    </w:p>
    <w:p>
      <w:pPr>
        <w:spacing w:before="120" w:after="120"/>
        <w:ind w:left="432" w:right="432"/>
        <w:jc w:val="center"/>
      </w:pPr>
      <w:r>
        <w:rPr>
          <w:rFonts w:ascii="Arial" w:hAnsi="Arial"/>
          <w:b w:val="0"/>
          <w:i/>
          <w:color w:val="7A5C00"/>
          <w:sz w:val="22"/>
        </w:rPr>
        <w:t>A debt freely incurred between equals is a legitimate obligation. A debt imposed through exploitation, extracted through coercion, or designed to bind a people in permanent economic servitude is not a debt. It is a continuation of slavery by other means.</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E</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EVIDENCE</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Something including testimony, documents, and tangible objects that tends to prove or disprove the existence of an alleged fact. The collective mass of things, especially testimony and exhibits, presented to a tribunal in a given dispute. Any matter of fact that a party to a lawsuit offers to prove or disprove an issue in the case.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evidence assumes that the evidentiary rules governing what counts as proof are neutral instruments for finding truth. They are not. The rules of evidence have been shaped by the same power dynamics that shaped every other aspect of the law. Historically, the testimony of Black witnesses was inadmissible against white defendants in many jurisdictions. Statistical evidence of systemic racial discrimination has been treated as insufficient to establish individual claims — McCleskey v. Kemp, 481 U.S. 279 (1987), held that documented racial disparities in capital sentencing were insufficient to establish a constitutional violation in an individual case, effectively making systemic racism legally invisible as evidence. Meanwhile, evidence obtained through racially motivated stops and searches — evidence that exists only because of unconstitutional conduct — was for decades admitted under exceptions to the exclusionary rule. The rules of evidence determine what the system is willing to see.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Evidence, in its fullest and most honest sense, is any information that bears on the truth of a matter — including information the dominant evidentiary framework has been designed to exclude. The exclusionary rule of Mapp v. Ohio, 367 U.S. 643 (1961), recognizes that evidence obtained through constitutional violations cannot be used — establishing the principle that truth-seeking cannot be built on rights violations. The Equal Protection Clause requires that evidentiary rules be applied consistently across racial lines. And the Due Process Clause of the Fifth and Fourteenth Amendments requires that any proceedings against the living being be based on reliable, fairly obtained, and fairly evaluated evidence — not on evidence manufactured through racially motivated investigation, coerced confession, or selective presentation. The body of the living being — their DNA, their biometric data, their medical records — is evidence that belongs to the living being, not to the State. Its compelled extraction implicates the Fourth and Fifth Amendments and, under the Counter-Canon's framework, the RFRA protection of the sacred biological vessel.</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Mapp v. Ohio, 367 U.S. 643 (1961): exclusionary rule. Brady v. Maryland, 373 U.S. 83 (1963): due process requires disclosure of exculpatory evidence. Giglio v. United States, 405 U.S. 150 (1972): due process requires disclosure of evidence affecting witness credibility. McCleskey v. Kemp, 481 U.S. 279 (1987) (Brennan, J., dissenting): statistical evidence of systemic discrimination is legally cognizable. Crawford v. Washington, 541 U.S. 36 (2004): confrontation right. U.S. Const. amend. IV (unreasonable search and seizure); amend. V (self-incrimination); amend. VI (confrontation).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proceeding, assert the full scope of evidentiary rights: the right to exclude unconstitutionally obtained evidence, the right to Brady material, the right to confront witnesses, and the right to present systemic evidence of racially discriminatory enforcement as context for individual claims. Evidence that the system does not want to see is often the most important evidence in the case.</w:t>
      </w:r>
    </w:p>
    <w:p>
      <w:pPr>
        <w:spacing w:before="120" w:after="120"/>
        <w:ind w:left="432" w:right="432"/>
        <w:jc w:val="center"/>
      </w:pPr>
      <w:r>
        <w:rPr>
          <w:rFonts w:ascii="Arial" w:hAnsi="Arial"/>
          <w:b w:val="0"/>
          <w:i/>
          <w:color w:val="7A5C00"/>
          <w:sz w:val="22"/>
        </w:rPr>
        <w:t>What is true does not change based on whether the court agrees to look at it. The rules of evidence determine what the system will acknowledge. They do not determine what is real.</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J</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JURISDICTION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government's general power to exercise authority over all persons and things within its territory. A court's power to decide a case or issue a decree. The geographic area within which political or judicial authority may be exercised. A political or judicial subdivision having such authority.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jurisdiction treats it as self-evidently arising from territorial presence: if you are within the geographic boundaries of a State, the State has jurisdiction over you. This assumption erases the conditions under which people came to be within those boundaries. The ancestors of African Americans were brought to this territory by force. They did not choose to be within the jurisdiction of a State that enslaved them. The assumption that territorial presence automatically confers legitimate jurisdiction is the same assumption that converted the territories of indigenous peoples into American jurisdiction by the act of conquest. It is also the assumption that allows the State to claim authority over the living being's inner life — spiritual practice, belief, ancestral identity — simply because the being's body occupies territory the State controls. The dominant definition of jurisdiction is a claim of total authority dressed in geographic language.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Jurisdiction is the specific, limited, and legally grounded authority of a court or government to act in a particular matter involving particular persons or conduct. It is not a general claim of total authority over everyone and everything within a territory. Subject matter jurisdiction limits what types of cases a court may hear. Personal jurisdiction limits which individuals a court may bind. The Due Process Clause requires that the exercise of personal jurisdiction not offend traditional notions of fair play and substantial justice — International Shoe Co. v. Washington, 326 U.S. 310 (1945). Even territorial presence does not give the State unlimited jurisdiction: the First Amendment limits the State's jurisdiction over belief and expression; RFRA limits the State's jurisdiction over religious practice; the Fourth Amendment limits the State's jurisdiction to enter, search, and seize. Jurisdiction is always conditional and limited. The State must demonstrate its specific legal authority for each specific action it takes against each specific living being. General territorial presence does not supply that authority.</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International Shoe Co. v. Washington, 326 U.S. 310 (1945): jurisdiction must comport with fair play and substantial justice. Steel Co. v. Citizens for a Better Environment, 523 U.S. 83 (1998): subject matter jurisdiction must be affirmatively demonstrated. Pennoyer v. Neff, 95 U.S. 714 (1878): foundational limits of personal jurisdiction. U.S. Const. amend. I, IV, V, XIV: constitutional limits on the scope of governmental jurisdiction over persons and their inner lives. Worcester v. Georgia, 31 U.S. 515 (1832): territorial jurisdiction does not extinguish the rights of pre-existing sovereign peoples.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court or agency asserts jurisdiction over the living being, demand the specific legal basis: What is the statutory or constitutional grant of subject matter jurisdiction? What is the basis for personal jurisdiction? Does the exercise of jurisdiction reach into domains — spiritual belief, ancestral identity, sacred practice — that the Constitution places beyond the State's reach? Jurisdiction is not assumed. It must be demonstrated.</w:t>
      </w:r>
    </w:p>
    <w:p>
      <w:pPr>
        <w:spacing w:before="120" w:after="120"/>
        <w:ind w:left="432" w:right="432"/>
        <w:jc w:val="center"/>
      </w:pPr>
      <w:r>
        <w:rPr>
          <w:rFonts w:ascii="Arial" w:hAnsi="Arial"/>
          <w:b w:val="0"/>
          <w:i/>
          <w:color w:val="7A5C00"/>
          <w:sz w:val="22"/>
        </w:rPr>
        <w:t>The State's authority stops where the living being's sovereignty begins. Territory grants presence. It does not grant dominion over the soul.</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O</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OBLIGATION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legal or moral duty to do or not do something. A formal, binding agreement or acknowledgment of a liability to pay a certain amount or to do a certain thing. Any duty imposed by law, contract, promise, or other relationship.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obligation treats duties imposed by law as equivalent in legitimacy to duties freely assumed by contract or promise. This equivalence is false where the law itself lacks legitimacy. An obligation arising from a statute that was enacted through a process that excluded the people it now obligates is not a legitimate obligation in the moral sense — even if it carries legal force. The obligations the State has imposed on Black Americans throughout history — the obligation to obey laws that denied their humanity, to pay taxes that funded their own oppression, to serve in armies that fought for a freedom they were denied — were obligations imposed without consent and without reciprocal protection. The dominant definition of obligation never asks whether the obligating system itself is legitimate. It only asks whether the formal requirements of obligation have been met.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obligation is a duty that arises from a relationship of mutual recognition and reciprocal commitment. A legitimate legal obligation requires both that the law imposing it was enacted through a process that fairly represented those it obligates and that the obligating system fulfills its own reciprocal duties to those it obligates. Where the State imposes obligations on persons it has historically excluded from participation in its formation and excluded from the protections it promised, the moral legitimacy of those obligations is contestable even where their legal force is technically present. The Constitution itself recognizes this principle: the Fourteenth Amendment's citizenship clause was necessary precisely because the original constitutional order had imposed the obligations of territorial presence on enslaved persons without recognizing their citizenship or their rights. The amendment corrected this — acknowledging that obligation and protection must travel together. Where protection is withheld, the moral foundation of the obligation is undermined.</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XIV, section 1: equal protection as the reciprocal of obligation. Declaration of Independence (1776): governments derive just powers from consent — the foundational statement that obligation requires consent. Restatement (Second) of Contracts sections 174-177: duress and undue influence vitiate obligation. ICCPR, Article 8: freedom from forced labor as the limit of legitimate obligation. Marbury v. Madison, 5 U.S. 137 (1803): no obligation can arise from an unconstitutional act.</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the State asserts an obligation against the living being, examine its foundation: Was the obligating law enacted through a legitimate process? Does the State fulfill its reciprocal duties of protection? Was the obligation freely assumed or imposed through structural coercion? A technically valid obligation that fails these tests may be legally enforceable but is morally contestable — and that contestation belongs in the record.</w:t>
      </w:r>
    </w:p>
    <w:p>
      <w:pPr>
        <w:spacing w:before="120" w:after="120"/>
        <w:ind w:left="432" w:right="432"/>
        <w:jc w:val="center"/>
      </w:pPr>
      <w:r>
        <w:rPr>
          <w:rFonts w:ascii="Arial" w:hAnsi="Arial"/>
          <w:b w:val="0"/>
          <w:i/>
          <w:color w:val="7A5C00"/>
          <w:sz w:val="22"/>
        </w:rPr>
        <w:t>Obligation and protection are two sides of the same coin. A State that demands one while withholding the other has broken the only compact that makes its demands legitimate.</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P</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PUNISHMENT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sanction — such as a fine, penalty, confinement, or loss of property, right, or privilege — assessed against a person who has violated the law. Any pain, suffering, loss, confinement, or other penalty inflicted on a person because of a crime or offense. The Eighth Amendment prohibits cruel and unusual punishment.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punishment assumes that the criminal justice system applies it neutrally to those who have violated the law. The historical and empirical record refutes this assumption comprehensively. Black Americans are incarcerated at five times the rate of white Americans for equivalent conduct. The War on Drugs imposed dramatically longer sentences for crack cocaine — prevalent in Black communities — than for powder cocaine — prevalent in white communities — for the same underlying substance. The Thirteenth Amendment explicitly preserved punishment as an exception to the prohibition on involuntary servitude — a provision that was immediately exploited through the Black Codes to re-enslave the formerly enslaved through the criminal justice system. The embedded assumption that punishment is a neutral response to neutral law enforcement is contradicted by every empirical study of American criminal justice. Punishment, as applied in America, has been a primary mechanism of racial control.</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Punishment, to be legitimate, must satisfy four conditions that the law itself establishes. It must be proportionate to the offense — Solem v. Helm, 463 U.S. 277 (1983). It must not be cruel or unusual — U.S. Const. amend. VIII. It must not be imposed in a racially discriminatory manner — U.S. Const. amend. XIV. And it must not constitute involuntary servitude operating as a badge or incident of slavery — U.S. Const. amend. XIII. Punishment that fails any of these conditions is not legitimate State sanction. It is the State's power used as a racial control mechanism. The Supreme Court in Atkins v. Virginia, 536 U.S. 304 (2002), and Roper v. Simmons, 543 U.S. 551 (2005), recognized that the Eighth Amendment must be interpreted by evolving standards of decency — acknowledging that the constitutional limits on punishment are living standards, not fixed points. Those evolving standards must ultimately reckon with the documented racial dimensions of American punishment.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VIII (cruel and unusual punishment). Solem v. Helm, 463 U.S. 277 (1983): proportionality. Atkins v. Virginia, 536 U.S. 304 (2002): evolving standards. Roper v. Simmons, 543 U.S. 551 (2005): evolving standards. U.S. Const. amend. XIII: involuntary servitude limit. McCleskey v. Kemp, 481 U.S. 279 (1987), Brennan, J., dissenting: documented racial disparities as constitutional concern. Miller v. Alabama, 567 U.S. 460 (2012): mandatory life without parole for juveniles unconstitutional.</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sentencing proceeding, assert the full constitutional framework: proportionality under the Eighth Amendment, equal protection challenge to racially disparate sentencing, and where incarceration results in forced labor, the Thirteenth Amendment prohibition on involuntary servitude as a badge and incident of slavery.</w:t>
      </w:r>
    </w:p>
    <w:p>
      <w:pPr>
        <w:spacing w:before="120" w:after="120"/>
        <w:ind w:left="432" w:right="432"/>
        <w:jc w:val="center"/>
      </w:pPr>
      <w:r>
        <w:rPr>
          <w:rFonts w:ascii="Arial" w:hAnsi="Arial"/>
          <w:b w:val="0"/>
          <w:i/>
          <w:color w:val="7A5C00"/>
          <w:sz w:val="22"/>
        </w:rPr>
        <w:t>A society that punishes some of its people for being what it made them, and calls that justice, has confused power with right. Legitimate punishment requires legitimate law, equally applied. Everything else is vengeance dressed in robes.</w:t>
      </w:r>
    </w:p>
    <w:p>
      <w:pPr>
        <w:spacing w:before="240" w:after="40"/>
        <w:jc w:val="left"/>
        <w:pBdr>
          <w:bottom w:val="single" w:sz="3" w:space="1" w:color="444466"/>
        </w:pBdr>
      </w:pPr>
      <w:r>
        <w:rPr>
          <w:rFonts w:ascii="Arial" w:hAnsi="Arial"/>
          <w:b/>
          <w:i w:val="0"/>
          <w:color w:val="222244"/>
          <w:sz w:val="24"/>
        </w:rPr>
        <w:t>PRIVILEGES</w:t>
      </w:r>
      <w:r>
        <w:rPr>
          <w:rFonts w:ascii="Arial" w:hAnsi="Arial"/>
          <w:b w:val="0"/>
          <w:i/>
          <w:color w:val="555577"/>
          <w:sz w:val="19"/>
        </w:rPr>
        <w:t xml:space="preserve">  (noun, plural)</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special legal right, exemption, or immunity granted to a person or class of persons; an exception to a duty. In constitutional law, the Fourteenth Amendment's Privileges or Immunities Clause protects the privileges and immunities of United States citizenship.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Privileges or Immunities Clause of the Fourteenth Amendment was intended by its framers to be the primary vehicle for protecting the fundamental rights of newly freed citizens. The Slaughterhouse Cases, 83 U.S. 36 (1873), gutted this clause five years after ratification, rendering it nearly meaningless for over a century. This judicial act of erasure converted the Fourteenth Amendment's most powerful protection into a dead letter — stripping the living being of African descent of the constitutional protection that had been specifically designed for them. The embedded assumption in the dominant treatment of privileges is that this erasure was legally correct and remains settled. It was not. Justice Thomas, in McDonald v. City of Chicago, 561 U.S. 742 (2010), argued extensively that the Slaughterhouse Cases were wrongly decided and that the Privileges or Immunities Clause should be restored to its original protective scope.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The privileges of United States citizenship, as originally understood by the framers of the Fourteenth Amendment, include all fundamental rights that belong to the citizens of a free republic — rights that are essential to the concept of ordered liberty and that the State may not abridge. These include but are not limited to: the right to travel freely throughout the United States; the right to pursue a lawful occupation; the right to be free from the badges and incidents of slavery; and the right to the equal protection of the laws in every State. The Slaughterhouse Cases' narrow reading of the Privileges or Immunities Clause was a political decision that served the interests of those who sought to limit the Fourteenth Amendment's reach. It is not the only possible reading of the text. The original understanding, preserved in Justice Field's dissent in Slaughterhouse and revived in Justice Thomas's concurrence in McDonald, recognizes that the Privileges or Immunities Clause was designed to protect a robust set of fundamental rights against State interference.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XIV, section 1 (Privileges or Immunities Clause). Slaughterhouse Cases, 83 U.S. 36 (1873): the narrowing decision — its dissents are the counter-authority. Saenz v. Roe, 526 U.S. 489 (1999): partial revival of Privileges or Immunities Clause for right to travel. McDonald v. City of Chicago, 561 U.S. 742 (2010), Thomas, J., concurring: extended argument for restoration of original Privileges or Immunities scope. Corfield v. Coryell, 6 F. Cas. 546 (C.C.E.D. Pa. 1823): the foundational pre-ratification statement of what privileges and immunities include.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Privileges or Immunities Clause remains an underdeveloped source of constitutional protection. In any proceeding involving fundamental rights, assert the clause alongside the Due Process and Equal Protection Clauses. The argument that the Slaughterhouse Cases were wrongly decided and should be overruled is a legitimate legal argument supported by Supreme Court concurrences. It belongs in the record.</w:t>
      </w:r>
    </w:p>
    <w:p>
      <w:pPr>
        <w:spacing w:before="120" w:after="120"/>
        <w:ind w:left="432" w:right="432"/>
        <w:jc w:val="center"/>
      </w:pPr>
      <w:r>
        <w:rPr>
          <w:rFonts w:ascii="Arial" w:hAnsi="Arial"/>
          <w:b w:val="0"/>
          <w:i/>
          <w:color w:val="7A5C00"/>
          <w:sz w:val="22"/>
        </w:rPr>
        <w:t>Rights are not privileges. A privilege is what the powerful grant. A right is what the Creator endowed. The Constitution claims to protect rights. When it calls them privileges, it is the document's limitation, not the truth's.</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R</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RIGHTS</w:t>
      </w:r>
      <w:r>
        <w:rPr>
          <w:rFonts w:ascii="Arial" w:hAnsi="Arial"/>
          <w:b w:val="0"/>
          <w:i/>
          <w:color w:val="555577"/>
          <w:sz w:val="20"/>
        </w:rPr>
        <w:t xml:space="preserve">  (noun, plural)</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Something that is due to a person by just claim, legal guarantee, or moral principle. A legally enforceable claim that another will do or will not do a given act; a recognized and protected interest the violation of which is a wrong. The sum of a person's interests protected by law.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rights frames them as something the law gives and the law protects — a legally enforceable claim. This framing makes rights dependent on the legal system for their existence. If the legal system does not recognize a claim, the claim is not a right. This assumption directly contradicts the foundational American statement about rights: the Declaration of Independence says that rights are endowed by the Creator — they are unalienable, which means they cannot be transferred or taken away. They do not come from the law. The law either honors them or violates them. But they exist independent of the law's recognition. The dominant definition converts this revolutionary understanding — rights as pre-legal, creator-endowed, unalienable — into a bureaucratic one: rights as whatever the legal system is currently willing to protect. For Black Americans, this conversion has meant that rights that philosophically existed were legally non-existent for most of this country's history. The dominant definition makes legal recognition the test of the right's existence. It should be the test of the law's legitimacy.</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Rights are pre-political, inherent attributes of the living being that exist independent of and prior to any legal system's recognition. They are endowed by the Creator — Declaration of Independence (1776) — and the legal system's function is to secure them, not to create them. When the legal system fails to secure a right, it has failed in its only legitimate purpose. When it actively violates a right, it has betrayed the foundational compact from which it draws its authority. This understanding is not radical. It is the explicit foundation of the American constitutional order. The Ninth Amendment states: the enumeration in the Constitution of certain rights shall not be construed to deny or disparage others retained by the people. The Ninth Amendment is the constitutional recognition that rights exist beyond the law's enumeration — that the people retain rights the Constitution did not name. Griswold v. Connecticut, 381 U.S. 479 (1965), relied on the Ninth Amendment to recognize a right to privacy not enumerated in the text. This principle extends as far as the Creator's endowment reaches — which is to say, to every dimension of the living being's existence.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Declaration of Independence (1776): unalienable rights endowed by the Creator. U.S. Const. amend. IX: rights retained by the people. Griswold v. Connecticut, 381 U.S. 479 (1965): unenumerated rights. Obergefell v. Hodges, 576 U.S. 644 (2015): fundamental rights include personal choices central to individual dignity. Boddie v. Connecticut, 401 U.S. 371 (1971): fundamental interests existing prior to state action. UDHR, Article 1: all human beings are born free and equal in dignity and rights. ICCPR, preamble: rights derive from the inherent dignity of the human person.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proceeding involving the living being's fundamental interests, assert the pre-legal character of those interests: they are not benefits the State has granted and may revoke. They are rights the Creator endowed and the State has an obligation to honor. The Ninth Amendment argument — that rights are retained by the people beyond the Constitution's enumeration — is an available and legitimate constitutional claim in any federal proceeding.</w:t>
      </w:r>
    </w:p>
    <w:p>
      <w:pPr>
        <w:spacing w:before="120" w:after="120"/>
        <w:ind w:left="432" w:right="432"/>
        <w:jc w:val="center"/>
      </w:pPr>
      <w:r>
        <w:rPr>
          <w:rFonts w:ascii="Arial" w:hAnsi="Arial"/>
          <w:b w:val="0"/>
          <w:i/>
          <w:color w:val="7A5C00"/>
          <w:sz w:val="22"/>
        </w:rPr>
        <w:t>Your rights are older than the law that claims to protect them. They were yours before the Constitution was written. The Constitution's value lies in whether it honors that truth.</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T</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TAX</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charge, usually monetary, imposed by the government on persons, entities, transactions, or property to yield public revenue. The sum so imposed. The raising of revenue is the primary purpose of a tax, as opposed to a fee, which serves regulatory or compensatory purposes.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tax treats it as a neutral mechanism for funding public goods — a contribution that all members of the political community make in proportion to their capacity. This assumption requires ignoring the history of taxation as applied to Black Americans. Black Americans paid taxes for most of this country's history while being denied the public goods those taxes funded — public schools, public accommodations, public housing, GI Bill benefits, Social Security coverage, federal mortgage guarantees. Taxation without equivalent public benefit is not the neutral civic contribution the dominant definition describes. It is extraction. The dominant definition also assumes that the tax system is structured fairly. It is not: the capital gains preference, the mortgage interest deduction, the step-up in basis at death — the most significant wealth-preserving features of the tax code — disproportionately benefit those who already hold wealth, while wage income — the primary income source of Black Americans — is taxed at the highest rates.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Tax is a legitimate instrument of public finance when it is imposed equitably, applied to fund benefits that are genuinely available to those being taxed, and designed through a process that fairly represents the interests of all taxpayers. Where taxation is used to extract resources from a community while denying that community the public goods the extraction is supposed to fund, it fails the foundational principle of the Sixteenth Amendment and the broader constitutional commitment to equal protection. The Supreme Court in NFIB v. Sebelius, 567 U.S. 519 (2012), confirmed that the taxing power, while broad, is not unlimited. Loper Bright Enterprises v. Raimondo, 603 U.S. ___ (2024), eliminates deference to IRS interpretations of ambiguous tax statutes — meaning that every IRS regulatory expansion of taxable activity beyond the plain statutory text is now subject to independent judicial review. The Taxpayer Bill of Rights, 26 U.S.C. section 7803, recognizes ten specific rights every taxpayer holds against the IRS — rights that exist independently of whether the IRS chooses to honor them.</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XVI (income tax). NFIB v. Sebelius, 567 U.S. 519 (2012): taxing power limits. Loper Bright Enterprises v. Raimondo, 603 U.S. ___ (2024): no deference to IRS statutory interpretations. 26 U.S.C. section 7803 (Taxpayer Bill of Rights). U.S. Const. amend. XIV (equal protection requires equitable application of tax laws). Declaration of Independence (1776): taxation without representation and without reciprocal benefit is the foundational American grievance.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IRS dispute, assert the full Taxpayer Bill of Rights, challenge agency interpretations of ambiguous statutory language under Loper Bright, and where tax obligations are applied inequitably or in a racially disparate manner, assert the equal protection claim. The taxing power is broad but not unlimited. Challenge its limits.</w:t>
      </w:r>
    </w:p>
    <w:p>
      <w:pPr>
        <w:spacing w:before="120" w:after="120"/>
        <w:ind w:left="432" w:right="432"/>
        <w:jc w:val="center"/>
      </w:pPr>
      <w:r>
        <w:rPr>
          <w:rFonts w:ascii="Arial" w:hAnsi="Arial"/>
          <w:b w:val="0"/>
          <w:i/>
          <w:color w:val="7A5C00"/>
          <w:sz w:val="22"/>
        </w:rPr>
        <w:t>Taxation is legitimate when it is the people funding their own shared life. Taxation is extraction when some people fund a shared life they are excluded from. America has done both. The difference matters.</w:t>
      </w:r>
    </w:p>
    <w:p>
      <w:pPr>
        <w:spacing w:before="240" w:after="40"/>
        <w:jc w:val="left"/>
        <w:pBdr>
          <w:bottom w:val="single" w:sz="3" w:space="1" w:color="444466"/>
        </w:pBdr>
      </w:pPr>
      <w:r>
        <w:rPr>
          <w:rFonts w:ascii="Arial" w:hAnsi="Arial"/>
          <w:b/>
          <w:i w:val="0"/>
          <w:color w:val="222244"/>
          <w:sz w:val="24"/>
        </w:rPr>
        <w:t>TRIBUTE</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payment made by one ruler or nation to another as an acknowledgment of submission, as the price of peace, or for protection. A tax or assessment paid by a subject state to its sovereign. Any exaction, contribution, or personal service demanded by authority.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tribute acknowledges that it is a payment made under submission or compulsion — a payment to a power that has the ability to exact it by force. What the dominant definition does not acknowledge is that much of what is called taxation in America has functioned, for Black Americans, as tribute in exactly this sense: payment exacted by a power from people who have no meaningful ability to refuse it, for a shared project from which they are systematically excluded. The word tribute is useful precisely because Black's Law Dictionary itself defines it honestly — as payment made under submission for protection that is acknowledged to be conditional on the payment. When the protection is not provided, the payment retains its character as tribute: payment for peace, not partnership.</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Tribute is the honest name for what taxation becomes when it is collected from a people without their meaningful consent, without equal representation in the system that collects it, and without equal access to the benefits it ostensibly funds. The Counter-Canon does not argue that taxes are tribute as a legal defense against tax obligations — that argument has been consistently rejected by courts and will continue to be rejected. What the Counter-Canon argues is that tribute is the accurate historical description of the extraction that has been applied to Black Americans across most of this country's history — and that this historical reality is legally relevant as context for understanding why the tax system must be applied with strict attention to equal protection, why the Taxpayer Bill of Rights must be honored without exception, and why any tax enforcement action that falls disproportionately on Black Americans must be scrutinized for the discriminatory patterns that the historical record establishes.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Declaration of Independence (1776): taxation without representation is the foundational American rejection of tribute. U.S. Const. amend. XIV (equal protection as the constitutional line between tax and tribute). Jones v. Alfred H. Mayer Co., 392 U.S. 409 (1968): economic extraction as a badge and incident of slavery. 26 U.S.C. section 7803 (Taxpayer Bill of Rights). Black's Law Dictionary definition of tribute: the system's own acknowledgment that compelled payment to a sovereign power is tribute.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Tribute is an analytical category, not a legal defense. Use it to frame the historical and structural argument in any proceeding involving tax obligations, economic enforcement, or administrative extraction: what is the history of this obligation? Has it been applied equally? Does the living being receive equal access to the public goods it funds? These questions do not void the obligation but they shape the record for equal protection challenges and for the broader argument about the legitimacy of the extractive system.</w:t>
      </w:r>
    </w:p>
    <w:p>
      <w:pPr>
        <w:spacing w:before="120" w:after="120"/>
        <w:ind w:left="432" w:right="432"/>
        <w:jc w:val="center"/>
      </w:pPr>
      <w:r>
        <w:rPr>
          <w:rFonts w:ascii="Arial" w:hAnsi="Arial"/>
          <w:b w:val="0"/>
          <w:i/>
          <w:color w:val="7A5C00"/>
          <w:sz w:val="22"/>
        </w:rPr>
        <w:t>The difference between a tax and a tribute is whether the payer had a voice in setting the terms and a share in the benefits. America owes an honest accounting of which it has collected.</w:t>
      </w:r>
    </w:p>
    <w:p>
      <w:pPr>
        <w:spacing w:before="360" w:after="40"/>
        <w:jc w:val="left"/>
        <w:pBdr>
          <w:bottom w:val="single" w:sz="6" w:space="1" w:color="1a1a2e"/>
        </w:pBdr>
      </w:pPr>
      <w:r>
        <w:rPr>
          <w:rFonts w:ascii="Arial" w:hAnsi="Arial"/>
          <w:b/>
          <w:i w:val="0"/>
          <w:color w:val="1A1A2E"/>
          <w:sz w:val="30"/>
        </w:rPr>
        <w:t>TRUTH</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Conformity to fact or actuality; a statement proven to be or accepted as true. In law, truth is a complete defense to defamation. In evidence, the standard of truthfulness is applied to testimony through oath or affirmation. In judicial proceedings, facts established by legally sufficient evidence are treated as true for purposes of adjudication.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legal definition of truth is procedural: truth is what the legal process determines to be true through its established mechanisms of proof and evidence. This definition makes truth dependent on procedure. If the evidence was obtained illegally, it is excluded — and the factual reality it reflects becomes legally non-existent. If a witness invokes the Fifth Amendment, their testimony is unavailable — and whatever they know is withheld from the proceeding. If a court applies the wrong legal standard, the wrong verdict becomes the legal truth. The embedded assumption is that legal truth and actual truth are equivalent — that what the legal process determines is what actually happened. Every wrongful conviction in American history is evidence that this equivalence is false. Every excluded piece of evidence that would have changed the outcome is evidence that procedural truth and actual truth are not the same thing. The law knows this. That is why appeals exist. That is why innocence projects exist. That is why post-conviction review exists. But the dominant definition still treats legal truth as if it were the final word.</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Truth is the correspondence between a statement or finding and the actual facts of reality — independent of whether any legal process has acknowledged it. Legal truth is what the legal process has determined. Actual truth is what happened. These are not always the same. The legal system's best aspiration is to align them as closely as possible — which is why the Due Process Clause requires fair procedures, why Brady v. Maryland, 373 U.S. 83 (1963), requires disclosure of exculpatory evidence, why the Confrontation Clause requires the ability to challenge witnesses, and why perjury is a crime. These rules exist because the law itself acknowledges that its procedures do not automatically produce truth — they are attempts to create conditions in which truth is more likely to emerge. The Counter-Canon's founding principle — nothing is absolute but Truth — means that when legal truth and actual truth diverge, the actual truth does not cease to exist. It waits. And the history of law is full of moments when the truth the legal system denied eventually forced its way into recognition: Dred Scott was wrong. Plessy was wrong. Bowers v. Hardwick was wrong. The legal system said otherwise until it couldn't. Truth is patient.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Brady v. Maryland, 373 U.S. 83 (1963): due process requires disclosure of exculpatory truth. In re Winship, 397 U.S. 358 (1970): the standard of proof beyond reasonable doubt as the law's acknowledgment that legal certainty is not the same as truth. Giglio v. United States, 405 U.S. 150 (1972). The Innocence Project: empirical documentation that the legal system produces false legal truths at a documented rate. Dred Scott v. Sandford, 60 U.S. 393 (1857) (overruled): the most consequential false legal truth in American history. Declaration of Independence (1776): we hold these truths to be self-evident — the founding recognition that some truths exist prior to and independently of legal determination.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proceeding, distinguish between the legal standard of proof and the actual truth of the matter. Challenge every procedure that creates distance between them: Brady violations, confrontation violations, unreliable identification procedures, coerced confessions. The law's own rules exist to align legal truth with actual truth. When they fail, that failure is a cognizable legal claim — not just a philosophical objection.</w:t>
      </w:r>
    </w:p>
    <w:p>
      <w:pPr>
        <w:spacing w:before="120" w:after="120"/>
        <w:ind w:left="432" w:right="432"/>
        <w:jc w:val="center"/>
      </w:pPr>
      <w:r>
        <w:rPr>
          <w:rFonts w:ascii="Arial" w:hAnsi="Arial"/>
          <w:b w:val="0"/>
          <w:i/>
          <w:color w:val="7A5C00"/>
          <w:sz w:val="22"/>
        </w:rPr>
        <w:t>Truth is not what the court decided. Truth is what happened. Courts catch up eventually. The truth was always there, waiting.</w:t>
      </w:r>
    </w:p>
    <w:p>
      <w:pPr>
        <w:spacing w:before="200" w:after="200"/>
        <w:jc w:val="center"/>
        <w:pBdr>
          <w:bottom w:val="single" w:sz="2" w:space="1" w:color="888888"/>
        </w:pBdr>
      </w:pPr>
    </w:p>
    <w:p>
      <w:r>
        <w:br w:type="page"/>
      </w:r>
    </w:p>
    <w:p>
      <w:pPr>
        <w:spacing w:before="0" w:after="120"/>
        <w:jc w:val="center"/>
      </w:pPr>
      <w:r>
        <w:rPr>
          <w:rFonts w:ascii="Arial" w:hAnsi="Arial"/>
          <w:b/>
          <w:i w:val="0"/>
          <w:color w:val="1A1A2E"/>
          <w:sz w:val="22"/>
        </w:rPr>
        <w:t>AMENDMENT RECORD — VOLUME TWO</w:t>
      </w:r>
    </w:p>
    <w:p>
      <w:pPr>
        <w:spacing w:before="0" w:after="80"/>
        <w:jc w:val="both"/>
      </w:pPr>
      <w:r>
        <w:rPr>
          <w:rFonts w:ascii="Arial" w:hAnsi="Arial"/>
          <w:b w:val="0"/>
          <w:i/>
          <w:color w:val="555577"/>
          <w:sz w:val="21"/>
        </w:rPr>
        <w:t>Volume Two, First Edition. Published 2026. No amendments recorded at time of first publication. This record will be updated with each subsequent edition as new legal developments require. All amendments will be logged with: date, triggering authority, nature of change, and editorial note. The Eternal Zone (Embedded Assumption and The Truth) will never be amended.</w:t>
      </w:r>
    </w:p>
    <w:p>
      <w:pPr>
        <w:spacing w:before="0" w:after="80"/>
        <w:jc w:val="both"/>
      </w:pPr>
      <w:r>
        <w:rPr>
          <w:rFonts w:ascii="Arial" w:hAnsi="Arial"/>
          <w:b w:val="0"/>
          <w:i/>
          <w:color w:val="555577"/>
          <w:sz w:val="21"/>
        </w:rPr>
        <w:t>Amendment Record entries will appear here in subsequent editions in the following format:</w:t>
      </w:r>
    </w:p>
    <w:p>
      <w:pPr>
        <w:spacing w:before="80" w:after="80"/>
        <w:ind w:left="432" w:right="432"/>
        <w:jc w:val="left"/>
      </w:pPr>
      <w:r>
        <w:rPr>
          <w:rFonts w:ascii="Courier New" w:hAnsi="Courier New"/>
          <w:color w:val="1A4A1A"/>
          <w:sz w:val="19"/>
        </w:rPr>
        <w:t>WORD: [Headword]</w:t>
        <w:br/>
        <w:t>EDITION: [Number] | DATE: [Date]</w:t>
        <w:br/>
        <w:t>TRIGGERING AUTHORITY: [Full citation]</w:t>
        <w:br/>
        <w:t>NATURE OF CHANGE: [Description]</w:t>
        <w:br/>
        <w:t>EDITORIAL NOTE: [Explanation of significance]</w:t>
        <w:br/>
        <w:t>ETERNAL ZONE: Unchanged.</w:t>
      </w:r>
    </w:p>
    <w:p>
      <w:r>
        <w:br w:type="page"/>
      </w:r>
    </w:p>
    <w:p>
      <w:pPr>
        <w:spacing w:before="0" w:after="120"/>
        <w:jc w:val="center"/>
      </w:pPr>
      <w:r>
        <w:rPr>
          <w:rFonts w:ascii="Arial" w:hAnsi="Arial"/>
          <w:b/>
          <w:i w:val="0"/>
          <w:color w:val="1A1A2E"/>
          <w:sz w:val="22"/>
        </w:rPr>
        <w:t>TABLE OF AUTHORITIES — VOLUME TWO</w:t>
      </w:r>
    </w:p>
    <w:p>
      <w:pPr>
        <w:spacing w:before="200" w:after="60"/>
        <w:jc w:val="left"/>
        <w:pBdr>
          <w:bottom w:val="single" w:sz="3" w:space="1" w:color="444466"/>
        </w:pBdr>
      </w:pPr>
      <w:r>
        <w:rPr>
          <w:rFonts w:ascii="Arial" w:hAnsi="Arial"/>
          <w:b/>
          <w:i w:val="0"/>
          <w:color w:val="222244"/>
          <w:sz w:val="22"/>
        </w:rPr>
        <w:t>United States Supreme Court Cases</w:t>
      </w:r>
    </w:p>
    <w:p>
      <w:pPr>
        <w:pStyle w:val="ListBullet"/>
        <w:spacing w:after="40"/>
        <w:ind w:left="576"/>
      </w:pPr>
      <w:r>
        <w:rPr>
          <w:rFonts w:ascii="Arial" w:hAnsi="Arial"/>
          <w:sz w:val="21"/>
        </w:rPr>
        <w:t>Atkins v. Virginia, 536 U.S. 304 (2002)</w:t>
      </w:r>
    </w:p>
    <w:p>
      <w:pPr>
        <w:pStyle w:val="ListBullet"/>
        <w:spacing w:after="40"/>
        <w:ind w:left="576"/>
      </w:pPr>
      <w:r>
        <w:rPr>
          <w:rFonts w:ascii="Arial" w:hAnsi="Arial"/>
          <w:sz w:val="21"/>
        </w:rPr>
        <w:t>Bailey v. Alabama, 219 U.S. 219 (1911)</w:t>
      </w:r>
    </w:p>
    <w:p>
      <w:pPr>
        <w:pStyle w:val="ListBullet"/>
        <w:spacing w:after="40"/>
        <w:ind w:left="576"/>
      </w:pPr>
      <w:r>
        <w:rPr>
          <w:rFonts w:ascii="Arial" w:hAnsi="Arial"/>
          <w:sz w:val="21"/>
        </w:rPr>
        <w:t>Boddie v. Connecticut, 401 U.S. 371 (1971)</w:t>
      </w:r>
    </w:p>
    <w:p>
      <w:pPr>
        <w:pStyle w:val="ListBullet"/>
        <w:spacing w:after="40"/>
        <w:ind w:left="576"/>
      </w:pPr>
      <w:r>
        <w:rPr>
          <w:rFonts w:ascii="Arial" w:hAnsi="Arial"/>
          <w:sz w:val="21"/>
        </w:rPr>
        <w:t>Brady v. Maryland, 373 U.S. 83 (1963)</w:t>
      </w:r>
    </w:p>
    <w:p>
      <w:pPr>
        <w:pStyle w:val="ListBullet"/>
        <w:spacing w:after="40"/>
        <w:ind w:left="576"/>
      </w:pPr>
      <w:r>
        <w:rPr>
          <w:rFonts w:ascii="Arial" w:hAnsi="Arial"/>
          <w:sz w:val="21"/>
        </w:rPr>
        <w:t>Clyatt v. United States, 197 U.S. 207 (1905)</w:t>
      </w:r>
    </w:p>
    <w:p>
      <w:pPr>
        <w:pStyle w:val="ListBullet"/>
        <w:spacing w:after="40"/>
        <w:ind w:left="576"/>
      </w:pPr>
      <w:r>
        <w:rPr>
          <w:rFonts w:ascii="Arial" w:hAnsi="Arial"/>
          <w:sz w:val="21"/>
        </w:rPr>
        <w:t>Crawford v. Washington, 541 U.S. 36 (2004)</w:t>
      </w:r>
    </w:p>
    <w:p>
      <w:pPr>
        <w:pStyle w:val="ListBullet"/>
        <w:spacing w:after="40"/>
        <w:ind w:left="576"/>
      </w:pPr>
      <w:r>
        <w:rPr>
          <w:rFonts w:ascii="Arial" w:hAnsi="Arial"/>
          <w:sz w:val="21"/>
        </w:rPr>
        <w:t>Dred Scott v. Sandford, 60 U.S. 393 (1857) (overruled)</w:t>
      </w:r>
    </w:p>
    <w:p>
      <w:pPr>
        <w:pStyle w:val="ListBullet"/>
        <w:spacing w:after="40"/>
        <w:ind w:left="576"/>
      </w:pPr>
      <w:r>
        <w:rPr>
          <w:rFonts w:ascii="Arial" w:hAnsi="Arial"/>
          <w:sz w:val="21"/>
        </w:rPr>
        <w:t>Giglio v. United States, 405 U.S. 150 (1972)</w:t>
      </w:r>
    </w:p>
    <w:p>
      <w:pPr>
        <w:pStyle w:val="ListBullet"/>
        <w:spacing w:after="40"/>
        <w:ind w:left="576"/>
      </w:pPr>
      <w:r>
        <w:rPr>
          <w:rFonts w:ascii="Arial" w:hAnsi="Arial"/>
          <w:sz w:val="21"/>
        </w:rPr>
        <w:t>Grayned v. City of Rockford, 408 U.S. 104 (1972)</w:t>
      </w:r>
    </w:p>
    <w:p>
      <w:pPr>
        <w:pStyle w:val="ListBullet"/>
        <w:spacing w:after="40"/>
        <w:ind w:left="576"/>
      </w:pPr>
      <w:r>
        <w:rPr>
          <w:rFonts w:ascii="Arial" w:hAnsi="Arial"/>
          <w:sz w:val="21"/>
        </w:rPr>
        <w:t>Griswold v. Connecticut, 381 U.S. 479 (1965)</w:t>
      </w:r>
    </w:p>
    <w:p>
      <w:pPr>
        <w:pStyle w:val="ListBullet"/>
        <w:spacing w:after="40"/>
        <w:ind w:left="576"/>
      </w:pPr>
      <w:r>
        <w:rPr>
          <w:rFonts w:ascii="Arial" w:hAnsi="Arial"/>
          <w:sz w:val="21"/>
        </w:rPr>
        <w:t>In re Winship, 397 U.S. 358 (1970)</w:t>
      </w:r>
    </w:p>
    <w:p>
      <w:pPr>
        <w:pStyle w:val="ListBullet"/>
        <w:spacing w:after="40"/>
        <w:ind w:left="576"/>
      </w:pPr>
      <w:r>
        <w:rPr>
          <w:rFonts w:ascii="Arial" w:hAnsi="Arial"/>
          <w:sz w:val="21"/>
        </w:rPr>
        <w:t>International Shoe Co. v. Washington, 326 U.S. 310 (1945)</w:t>
      </w:r>
    </w:p>
    <w:p>
      <w:pPr>
        <w:pStyle w:val="ListBullet"/>
        <w:spacing w:after="40"/>
        <w:ind w:left="576"/>
      </w:pPr>
      <w:r>
        <w:rPr>
          <w:rFonts w:ascii="Arial" w:hAnsi="Arial"/>
          <w:sz w:val="21"/>
        </w:rPr>
        <w:t>Jones v. Alfred H. Mayer Co., 392 U.S. 409 (1968)</w:t>
      </w:r>
    </w:p>
    <w:p>
      <w:pPr>
        <w:pStyle w:val="ListBullet"/>
        <w:spacing w:after="40"/>
        <w:ind w:left="576"/>
      </w:pPr>
      <w:r>
        <w:rPr>
          <w:rFonts w:ascii="Arial" w:hAnsi="Arial"/>
          <w:sz w:val="21"/>
        </w:rPr>
        <w:t>Lawrence v. Texas, 539 U.S. 558 (2003)</w:t>
      </w:r>
    </w:p>
    <w:p>
      <w:pPr>
        <w:pStyle w:val="ListBullet"/>
        <w:spacing w:after="40"/>
        <w:ind w:left="576"/>
      </w:pPr>
      <w:r>
        <w:rPr>
          <w:rFonts w:ascii="Arial" w:hAnsi="Arial"/>
          <w:sz w:val="21"/>
        </w:rPr>
        <w:t>Loper Bright Enterprises v. Raimondo, 603 U.S. ___ (2024)</w:t>
      </w:r>
    </w:p>
    <w:p>
      <w:pPr>
        <w:pStyle w:val="ListBullet"/>
        <w:spacing w:after="40"/>
        <w:ind w:left="576"/>
      </w:pPr>
      <w:r>
        <w:rPr>
          <w:rFonts w:ascii="Arial" w:hAnsi="Arial"/>
          <w:sz w:val="21"/>
        </w:rPr>
        <w:t>Mapp v. Ohio, 367 U.S. 643 (1961)</w:t>
      </w:r>
    </w:p>
    <w:p>
      <w:pPr>
        <w:pStyle w:val="ListBullet"/>
        <w:spacing w:after="40"/>
        <w:ind w:left="576"/>
      </w:pPr>
      <w:r>
        <w:rPr>
          <w:rFonts w:ascii="Arial" w:hAnsi="Arial"/>
          <w:sz w:val="21"/>
        </w:rPr>
        <w:t>McCleskey v. Kemp, 481 U.S. 279 (1987)</w:t>
      </w:r>
    </w:p>
    <w:p>
      <w:pPr>
        <w:pStyle w:val="ListBullet"/>
        <w:spacing w:after="40"/>
        <w:ind w:left="576"/>
      </w:pPr>
      <w:r>
        <w:rPr>
          <w:rFonts w:ascii="Arial" w:hAnsi="Arial"/>
          <w:sz w:val="21"/>
        </w:rPr>
        <w:t>McDonald v. City of Chicago, 561 U.S. 742 (2010)</w:t>
      </w:r>
    </w:p>
    <w:p>
      <w:pPr>
        <w:pStyle w:val="ListBullet"/>
        <w:spacing w:after="40"/>
        <w:ind w:left="576"/>
      </w:pPr>
      <w:r>
        <w:rPr>
          <w:rFonts w:ascii="Arial" w:hAnsi="Arial"/>
          <w:sz w:val="21"/>
        </w:rPr>
        <w:t>Miller v. Alabama, 567 U.S. 460 (2012)</w:t>
      </w:r>
    </w:p>
    <w:p>
      <w:pPr>
        <w:pStyle w:val="ListBullet"/>
        <w:spacing w:after="40"/>
        <w:ind w:left="576"/>
      </w:pPr>
      <w:r>
        <w:rPr>
          <w:rFonts w:ascii="Arial" w:hAnsi="Arial"/>
          <w:sz w:val="21"/>
        </w:rPr>
        <w:t>Miranda v. Arizona, 384 U.S. 436 (1966)</w:t>
      </w:r>
    </w:p>
    <w:p>
      <w:pPr>
        <w:pStyle w:val="ListBullet"/>
        <w:spacing w:after="40"/>
        <w:ind w:left="576"/>
      </w:pPr>
      <w:r>
        <w:rPr>
          <w:rFonts w:ascii="Arial" w:hAnsi="Arial"/>
          <w:sz w:val="21"/>
        </w:rPr>
        <w:t>Moran v. Burbine, 475 U.S. 412 (1986)</w:t>
      </w:r>
    </w:p>
    <w:p>
      <w:pPr>
        <w:pStyle w:val="ListBullet"/>
        <w:spacing w:after="40"/>
        <w:ind w:left="576"/>
      </w:pPr>
      <w:r>
        <w:rPr>
          <w:rFonts w:ascii="Arial" w:hAnsi="Arial"/>
          <w:sz w:val="21"/>
        </w:rPr>
        <w:t>NFIB v. Sebelius, 567 U.S. 519 (2012)</w:t>
      </w:r>
    </w:p>
    <w:p>
      <w:pPr>
        <w:pStyle w:val="ListBullet"/>
        <w:spacing w:after="40"/>
        <w:ind w:left="576"/>
      </w:pPr>
      <w:r>
        <w:rPr>
          <w:rFonts w:ascii="Arial" w:hAnsi="Arial"/>
          <w:sz w:val="21"/>
        </w:rPr>
        <w:t>Obergefell v. Hodges, 576 U.S. 644 (2015)</w:t>
      </w:r>
    </w:p>
    <w:p>
      <w:pPr>
        <w:pStyle w:val="ListBullet"/>
        <w:spacing w:after="40"/>
        <w:ind w:left="576"/>
      </w:pPr>
      <w:r>
        <w:rPr>
          <w:rFonts w:ascii="Arial" w:hAnsi="Arial"/>
          <w:sz w:val="21"/>
        </w:rPr>
        <w:t>Pennoyer v. Neff, 95 U.S. 714 (1878)</w:t>
      </w:r>
    </w:p>
    <w:p>
      <w:pPr>
        <w:pStyle w:val="ListBullet"/>
        <w:spacing w:after="40"/>
        <w:ind w:left="576"/>
      </w:pPr>
      <w:r>
        <w:rPr>
          <w:rFonts w:ascii="Arial" w:hAnsi="Arial"/>
          <w:sz w:val="21"/>
        </w:rPr>
        <w:t>Robinson v. California, 370 U.S. 660 (1962)</w:t>
      </w:r>
    </w:p>
    <w:p>
      <w:pPr>
        <w:pStyle w:val="ListBullet"/>
        <w:spacing w:after="40"/>
        <w:ind w:left="576"/>
      </w:pPr>
      <w:r>
        <w:rPr>
          <w:rFonts w:ascii="Arial" w:hAnsi="Arial"/>
          <w:sz w:val="21"/>
        </w:rPr>
        <w:t>Roper v. Simmons, 543 U.S. 551 (2005)</w:t>
      </w:r>
    </w:p>
    <w:p>
      <w:pPr>
        <w:pStyle w:val="ListBullet"/>
        <w:spacing w:after="40"/>
        <w:ind w:left="576"/>
      </w:pPr>
      <w:r>
        <w:rPr>
          <w:rFonts w:ascii="Arial" w:hAnsi="Arial"/>
          <w:sz w:val="21"/>
        </w:rPr>
        <w:t>Saenz v. Roe, 526 U.S. 489 (1999)</w:t>
      </w:r>
    </w:p>
    <w:p>
      <w:pPr>
        <w:pStyle w:val="ListBullet"/>
        <w:spacing w:after="40"/>
        <w:ind w:left="576"/>
      </w:pPr>
      <w:r>
        <w:rPr>
          <w:rFonts w:ascii="Arial" w:hAnsi="Arial"/>
          <w:sz w:val="21"/>
        </w:rPr>
        <w:t>Schneckloth v. Bustamonte, 412 U.S. 218 (1973)</w:t>
      </w:r>
    </w:p>
    <w:p>
      <w:pPr>
        <w:pStyle w:val="ListBullet"/>
        <w:spacing w:after="40"/>
        <w:ind w:left="576"/>
      </w:pPr>
      <w:r>
        <w:rPr>
          <w:rFonts w:ascii="Arial" w:hAnsi="Arial"/>
          <w:sz w:val="21"/>
        </w:rPr>
        <w:t>Slaughterhouse Cases, 83 U.S. 36 (1873)</w:t>
      </w:r>
    </w:p>
    <w:p>
      <w:pPr>
        <w:pStyle w:val="ListBullet"/>
        <w:spacing w:after="40"/>
        <w:ind w:left="576"/>
      </w:pPr>
      <w:r>
        <w:rPr>
          <w:rFonts w:ascii="Arial" w:hAnsi="Arial"/>
          <w:sz w:val="21"/>
        </w:rPr>
        <w:t>Solem v. Helm, 463 U.S. 277 (1983)</w:t>
      </w:r>
    </w:p>
    <w:p>
      <w:pPr>
        <w:pStyle w:val="ListBullet"/>
        <w:spacing w:after="40"/>
        <w:ind w:left="576"/>
      </w:pPr>
      <w:r>
        <w:rPr>
          <w:rFonts w:ascii="Arial" w:hAnsi="Arial"/>
          <w:sz w:val="21"/>
        </w:rPr>
        <w:t>Steel Co. v. Citizens for a Better Environment, 523 U.S. 83 (1998)</w:t>
      </w:r>
    </w:p>
    <w:p>
      <w:pPr>
        <w:pStyle w:val="ListBullet"/>
        <w:spacing w:after="40"/>
        <w:ind w:left="576"/>
      </w:pPr>
      <w:r>
        <w:rPr>
          <w:rFonts w:ascii="Arial" w:hAnsi="Arial"/>
          <w:sz w:val="21"/>
        </w:rPr>
        <w:t>United States v. Armstrong, 517 U.S. 456 (1996)</w:t>
      </w:r>
    </w:p>
    <w:p>
      <w:pPr>
        <w:pStyle w:val="ListBullet"/>
        <w:spacing w:after="40"/>
        <w:ind w:left="576"/>
      </w:pPr>
      <w:r>
        <w:rPr>
          <w:rFonts w:ascii="Arial" w:hAnsi="Arial"/>
          <w:sz w:val="21"/>
        </w:rPr>
        <w:t>United States v. Reynolds, 235 U.S. 133 (1914)</w:t>
      </w:r>
    </w:p>
    <w:p>
      <w:pPr>
        <w:pStyle w:val="ListBullet"/>
        <w:spacing w:after="40"/>
        <w:ind w:left="576"/>
      </w:pPr>
      <w:r>
        <w:rPr>
          <w:rFonts w:ascii="Arial" w:hAnsi="Arial"/>
          <w:sz w:val="21"/>
        </w:rPr>
        <w:t>Williams v. Walker-Thomas Furniture Co., 350 F.2d 445 (D.C. Cir. 1965)</w:t>
      </w:r>
    </w:p>
    <w:p>
      <w:pPr>
        <w:pStyle w:val="ListBullet"/>
        <w:spacing w:after="40"/>
        <w:ind w:left="576"/>
      </w:pPr>
      <w:r>
        <w:rPr>
          <w:rFonts w:ascii="Arial" w:hAnsi="Arial"/>
          <w:sz w:val="21"/>
        </w:rPr>
        <w:t>Worcester v. Georgia, 31 U.S. 515 (1832)</w:t>
      </w:r>
    </w:p>
    <w:p>
      <w:pPr>
        <w:pStyle w:val="ListBullet"/>
        <w:spacing w:after="40"/>
        <w:ind w:left="576"/>
      </w:pPr>
      <w:r>
        <w:rPr>
          <w:rFonts w:ascii="Arial" w:hAnsi="Arial"/>
          <w:sz w:val="21"/>
        </w:rPr>
        <w:t>Yick Wo v. Hopkins, 118 U.S. 356 (1886)</w:t>
      </w:r>
    </w:p>
    <w:p>
      <w:pPr>
        <w:spacing w:before="200" w:after="60"/>
        <w:jc w:val="left"/>
        <w:pBdr>
          <w:bottom w:val="single" w:sz="3" w:space="1" w:color="444466"/>
        </w:pBdr>
      </w:pPr>
      <w:r>
        <w:rPr>
          <w:rFonts w:ascii="Arial" w:hAnsi="Arial"/>
          <w:b/>
          <w:i w:val="0"/>
          <w:color w:val="222244"/>
          <w:sz w:val="22"/>
        </w:rPr>
        <w:t>Constitutional Provisions</w:t>
      </w:r>
    </w:p>
    <w:p>
      <w:pPr>
        <w:pStyle w:val="ListBullet"/>
        <w:spacing w:after="40"/>
        <w:ind w:left="576"/>
      </w:pPr>
      <w:r>
        <w:rPr>
          <w:rFonts w:ascii="Arial" w:hAnsi="Arial"/>
          <w:sz w:val="21"/>
        </w:rPr>
        <w:t>U.S. Const. amend. I (Free Exercise; Free Speech)</w:t>
      </w:r>
    </w:p>
    <w:p>
      <w:pPr>
        <w:pStyle w:val="ListBullet"/>
        <w:spacing w:after="40"/>
        <w:ind w:left="576"/>
      </w:pPr>
      <w:r>
        <w:rPr>
          <w:rFonts w:ascii="Arial" w:hAnsi="Arial"/>
          <w:sz w:val="21"/>
        </w:rPr>
        <w:t>U.S. Const. amend. IV (Search and Seizure)</w:t>
      </w:r>
    </w:p>
    <w:p>
      <w:pPr>
        <w:pStyle w:val="ListBullet"/>
        <w:spacing w:after="40"/>
        <w:ind w:left="576"/>
      </w:pPr>
      <w:r>
        <w:rPr>
          <w:rFonts w:ascii="Arial" w:hAnsi="Arial"/>
          <w:sz w:val="21"/>
        </w:rPr>
        <w:t>U.S. Const. amend. V (Due Process; Self-Incrimination)</w:t>
      </w:r>
    </w:p>
    <w:p>
      <w:pPr>
        <w:pStyle w:val="ListBullet"/>
        <w:spacing w:after="40"/>
        <w:ind w:left="576"/>
      </w:pPr>
      <w:r>
        <w:rPr>
          <w:rFonts w:ascii="Arial" w:hAnsi="Arial"/>
          <w:sz w:val="21"/>
        </w:rPr>
        <w:t>U.S. Const. amend. VI (Confrontation; Speedy Trial)</w:t>
      </w:r>
    </w:p>
    <w:p>
      <w:pPr>
        <w:pStyle w:val="ListBullet"/>
        <w:spacing w:after="40"/>
        <w:ind w:left="576"/>
      </w:pPr>
      <w:r>
        <w:rPr>
          <w:rFonts w:ascii="Arial" w:hAnsi="Arial"/>
          <w:sz w:val="21"/>
        </w:rPr>
        <w:t>U.S. Const. amend. VIII (Cruel and Unusual Punishment)</w:t>
      </w:r>
    </w:p>
    <w:p>
      <w:pPr>
        <w:pStyle w:val="ListBullet"/>
        <w:spacing w:after="40"/>
        <w:ind w:left="576"/>
      </w:pPr>
      <w:r>
        <w:rPr>
          <w:rFonts w:ascii="Arial" w:hAnsi="Arial"/>
          <w:sz w:val="21"/>
        </w:rPr>
        <w:t>U.S. Const. amend. IX (Unenumerated Rights)</w:t>
      </w:r>
    </w:p>
    <w:p>
      <w:pPr>
        <w:pStyle w:val="ListBullet"/>
        <w:spacing w:after="40"/>
        <w:ind w:left="576"/>
      </w:pPr>
      <w:r>
        <w:rPr>
          <w:rFonts w:ascii="Arial" w:hAnsi="Arial"/>
          <w:sz w:val="21"/>
        </w:rPr>
        <w:t>U.S. Const. amend. XIII (Abolition of Slavery; Badges and Incidents)</w:t>
      </w:r>
    </w:p>
    <w:p>
      <w:pPr>
        <w:pStyle w:val="ListBullet"/>
        <w:spacing w:after="40"/>
        <w:ind w:left="576"/>
      </w:pPr>
      <w:r>
        <w:rPr>
          <w:rFonts w:ascii="Arial" w:hAnsi="Arial"/>
          <w:sz w:val="21"/>
        </w:rPr>
        <w:t>U.S. Const. amend. XIV (Equal Protection; Due Process; Privileges or Immunities)</w:t>
      </w:r>
    </w:p>
    <w:p>
      <w:pPr>
        <w:pStyle w:val="ListBullet"/>
        <w:spacing w:after="40"/>
        <w:ind w:left="576"/>
      </w:pPr>
      <w:r>
        <w:rPr>
          <w:rFonts w:ascii="Arial" w:hAnsi="Arial"/>
          <w:sz w:val="21"/>
        </w:rPr>
        <w:t>U.S. Const. amend. XVI (Income Tax)</w:t>
      </w:r>
    </w:p>
    <w:p>
      <w:pPr>
        <w:pStyle w:val="ListBullet"/>
        <w:spacing w:after="40"/>
        <w:ind w:left="576"/>
      </w:pPr>
      <w:r>
        <w:rPr>
          <w:rFonts w:ascii="Arial" w:hAnsi="Arial"/>
          <w:sz w:val="21"/>
        </w:rPr>
        <w:t>Declaration of Independence (1776)</w:t>
      </w:r>
    </w:p>
    <w:p>
      <w:pPr>
        <w:spacing w:before="200" w:after="60"/>
        <w:jc w:val="left"/>
        <w:pBdr>
          <w:bottom w:val="single" w:sz="3" w:space="1" w:color="444466"/>
        </w:pBdr>
      </w:pPr>
      <w:r>
        <w:rPr>
          <w:rFonts w:ascii="Arial" w:hAnsi="Arial"/>
          <w:b/>
          <w:i w:val="0"/>
          <w:color w:val="222244"/>
          <w:sz w:val="22"/>
        </w:rPr>
        <w:t>Federal Statutes</w:t>
      </w:r>
    </w:p>
    <w:p>
      <w:pPr>
        <w:pStyle w:val="ListBullet"/>
        <w:spacing w:after="40"/>
        <w:ind w:left="576"/>
      </w:pPr>
      <w:r>
        <w:rPr>
          <w:rFonts w:ascii="Arial" w:hAnsi="Arial"/>
          <w:sz w:val="21"/>
        </w:rPr>
        <w:t>Religious Freedom Restoration Act, 42 U.S.C. section 2000bb et seq.</w:t>
      </w:r>
    </w:p>
    <w:p>
      <w:pPr>
        <w:pStyle w:val="ListBullet"/>
        <w:spacing w:after="40"/>
        <w:ind w:left="576"/>
      </w:pPr>
      <w:r>
        <w:rPr>
          <w:rFonts w:ascii="Arial" w:hAnsi="Arial"/>
          <w:sz w:val="21"/>
        </w:rPr>
        <w:t>42 U.S.C. section 1981 (Equal Rights Under the Law)</w:t>
      </w:r>
    </w:p>
    <w:p>
      <w:pPr>
        <w:pStyle w:val="ListBullet"/>
        <w:spacing w:after="40"/>
        <w:ind w:left="576"/>
      </w:pPr>
      <w:r>
        <w:rPr>
          <w:rFonts w:ascii="Arial" w:hAnsi="Arial"/>
          <w:sz w:val="21"/>
        </w:rPr>
        <w:t>42 U.S.C. section 1983 (Civil Action for Deprivation of Rights)</w:t>
      </w:r>
    </w:p>
    <w:p>
      <w:pPr>
        <w:pStyle w:val="ListBullet"/>
        <w:spacing w:after="40"/>
        <w:ind w:left="576"/>
      </w:pPr>
      <w:r>
        <w:rPr>
          <w:rFonts w:ascii="Arial" w:hAnsi="Arial"/>
          <w:sz w:val="21"/>
        </w:rPr>
        <w:t>Fair Debt Collection Practices Act, 15 U.S.C. sections 1692 et seq.</w:t>
      </w:r>
    </w:p>
    <w:p>
      <w:pPr>
        <w:pStyle w:val="ListBullet"/>
        <w:spacing w:after="40"/>
        <w:ind w:left="576"/>
      </w:pPr>
      <w:r>
        <w:rPr>
          <w:rFonts w:ascii="Arial" w:hAnsi="Arial"/>
          <w:sz w:val="21"/>
        </w:rPr>
        <w:t>26 U.S.C. section 7803 (Taxpayer Bill of Rights)</w:t>
      </w:r>
    </w:p>
    <w:p>
      <w:pPr>
        <w:pStyle w:val="ListBullet"/>
        <w:spacing w:after="40"/>
        <w:ind w:left="576"/>
      </w:pPr>
      <w:r>
        <w:rPr>
          <w:rFonts w:ascii="Arial" w:hAnsi="Arial"/>
          <w:sz w:val="21"/>
        </w:rPr>
        <w:t>ILO Convention No. 29 (Forced Labor Convention)</w:t>
      </w:r>
    </w:p>
    <w:p>
      <w:pPr>
        <w:pStyle w:val="ListBullet"/>
        <w:spacing w:after="40"/>
        <w:ind w:left="576"/>
      </w:pPr>
      <w:r>
        <w:rPr>
          <w:rFonts w:ascii="Arial" w:hAnsi="Arial"/>
          <w:sz w:val="21"/>
        </w:rPr>
        <w:t>ICCPR, Articles 7, 8, 14, 18, 26</w:t>
      </w:r>
    </w:p>
    <w:p>
      <w:pPr>
        <w:pStyle w:val="ListBullet"/>
        <w:spacing w:after="40"/>
        <w:ind w:left="576"/>
      </w:pPr>
      <w:r>
        <w:rPr>
          <w:rFonts w:ascii="Arial" w:hAnsi="Arial"/>
          <w:sz w:val="21"/>
        </w:rPr>
        <w:t>UDHR, Articles 1, 7, 10, 11, 18</w:t>
      </w:r>
    </w:p>
    <w:p>
      <w:pPr>
        <w:pStyle w:val="ListBullet"/>
        <w:spacing w:after="40"/>
        <w:ind w:left="576"/>
      </w:pPr>
      <w:r>
        <w:rPr>
          <w:rFonts w:ascii="Arial" w:hAnsi="Arial"/>
          <w:sz w:val="21"/>
        </w:rPr>
        <w:t>Restatement (Second) of Contracts sections 174-177, 208</w:t>
      </w:r>
    </w:p>
    <w:p>
      <w:pPr>
        <w:pStyle w:val="ListBullet"/>
        <w:spacing w:after="40"/>
        <w:ind w:left="576"/>
      </w:pPr>
      <w:r>
        <w:rPr>
          <w:rFonts w:ascii="Arial" w:hAnsi="Arial"/>
          <w:sz w:val="21"/>
        </w:rPr>
        <w:t>UCC section 2-302 (Unconscionability)</w:t>
      </w:r>
    </w:p>
    <w:p>
      <w:pPr>
        <w:spacing w:before="200" w:after="60"/>
        <w:jc w:val="left"/>
        <w:pBdr>
          <w:bottom w:val="single" w:sz="3" w:space="1" w:color="444466"/>
        </w:pBdr>
      </w:pPr>
      <w:r>
        <w:rPr>
          <w:rFonts w:ascii="Arial" w:hAnsi="Arial"/>
          <w:b/>
          <w:i w:val="0"/>
          <w:color w:val="222244"/>
          <w:sz w:val="22"/>
        </w:rPr>
        <w:t>Secondary Authorities and Doctrine Sources</w:t>
      </w:r>
    </w:p>
    <w:p>
      <w:pPr>
        <w:pStyle w:val="ListBullet"/>
        <w:spacing w:after="40"/>
        <w:ind w:left="576"/>
      </w:pPr>
      <w:r>
        <w:rPr>
          <w:rFonts w:ascii="Arial" w:hAnsi="Arial"/>
          <w:sz w:val="21"/>
        </w:rPr>
        <w:t>Rickey Allan Howard, The Counter-Canon: A Dictionary of Living Law, Volume One (2026)</w:t>
      </w:r>
    </w:p>
    <w:p>
      <w:pPr>
        <w:pStyle w:val="ListBullet"/>
        <w:spacing w:after="40"/>
        <w:ind w:left="576"/>
      </w:pPr>
      <w:r>
        <w:rPr>
          <w:rFonts w:ascii="Arial" w:hAnsi="Arial"/>
          <w:sz w:val="21"/>
        </w:rPr>
        <w:t>Rickey Allan Howard, The Doctrine of Pre-Political Sovereign Being (2026)</w:t>
      </w:r>
    </w:p>
    <w:p>
      <w:pPr>
        <w:pStyle w:val="ListBullet"/>
        <w:spacing w:after="40"/>
        <w:ind w:left="576"/>
      </w:pPr>
      <w:r>
        <w:rPr>
          <w:rFonts w:ascii="Arial" w:hAnsi="Arial"/>
          <w:sz w:val="21"/>
        </w:rPr>
        <w:t>Rickey Allan Howard, The Sovereign Self: Reclaiming Divine Intent in Law and Governance, Volumes I-VII (2025-2026)</w:t>
      </w:r>
    </w:p>
    <w:p>
      <w:pPr>
        <w:pStyle w:val="ListBullet"/>
        <w:spacing w:after="40"/>
        <w:ind w:left="576"/>
      </w:pPr>
      <w:r>
        <w:rPr>
          <w:rFonts w:ascii="Arial" w:hAnsi="Arial"/>
          <w:sz w:val="21"/>
        </w:rPr>
        <w:t>Corfield v. Coryell, 6 F. Cas. 546 (C.C.E.D. Pa. 1823): foundational privileges and immunities statement</w:t>
      </w:r>
    </w:p>
    <w:p>
      <w:pPr>
        <w:pStyle w:val="ListBullet"/>
        <w:spacing w:after="40"/>
        <w:ind w:left="576"/>
      </w:pPr>
      <w:r>
        <w:rPr>
          <w:rFonts w:ascii="Arial" w:hAnsi="Arial"/>
          <w:sz w:val="21"/>
        </w:rPr>
        <w:t>John Locke, Second Treatise of Civil Government (1689)</w:t>
      </w:r>
    </w:p>
    <w:p>
      <w:r>
        <w:br w:type="page"/>
      </w:r>
    </w:p>
    <w:p>
      <w:pPr>
        <w:spacing w:before="0" w:after="120"/>
        <w:jc w:val="center"/>
        <w:pBdr>
          <w:bottom w:val="single" w:sz="4" w:space="1" w:color="1a1a2e"/>
        </w:pBdr>
      </w:pPr>
    </w:p>
    <w:p>
      <w:pPr>
        <w:spacing w:before="80" w:after="120"/>
        <w:jc w:val="center"/>
      </w:pPr>
      <w:r>
        <w:rPr>
          <w:rFonts w:ascii="Arial" w:hAnsi="Arial"/>
          <w:b/>
          <w:i w:val="0"/>
          <w:color w:val="1A1A2E"/>
          <w:sz w:val="20"/>
        </w:rPr>
        <w:t>A NOTE ON VOLUME THREE</w:t>
      </w:r>
    </w:p>
    <w:p>
      <w:pPr>
        <w:spacing w:before="0" w:after="200"/>
        <w:jc w:val="center"/>
      </w:pPr>
      <w:r>
        <w:rPr>
          <w:rFonts w:ascii="Arial" w:hAnsi="Arial"/>
          <w:b w:val="0"/>
          <w:i/>
          <w:color w:val="222244"/>
          <w:sz w:val="21"/>
        </w:rPr>
        <w:t>Volume Three enters the enforcement words: Arrest, Detention, Force, Resistance, Probable Cause, Reasonable Suspicion, Stop, Search, Seizure, Warrant. These are the words that govern what happens when the State's power meets the living being's body. They are the most immediately dangerous words in the legal vocabulary for the living being of African descent — and they contain, in the law's own text, the most complete set of protections the system has ever written. Volume Three finds them.</w:t>
      </w: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The Counter-Canon: A Dictionary of Living Law</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