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A1A2E"/>
          <w:sz w:val="30"/>
        </w:rPr>
        <w:t>DECLARATION OF STANDING</w:t>
      </w:r>
    </w:p>
    <w:p>
      <w:pPr>
        <w:spacing w:before="0" w:after="40"/>
        <w:jc w:val="center"/>
      </w:pPr>
      <w:r>
        <w:rPr>
          <w:rFonts w:ascii="Arial" w:hAnsi="Arial"/>
          <w:b w:val="0"/>
          <w:color w:val="444466"/>
          <w:sz w:val="22"/>
        </w:rPr>
        <w:t>Of a Living Being of Divine Creation</w:t>
      </w:r>
    </w:p>
    <w:p>
      <w:pPr>
        <w:spacing w:before="0" w:after="0"/>
        <w:jc w:val="center"/>
        <w:pBdr>
          <w:bottom w:val="single" w:sz="8" w:space="1" w:color="1a1a2e"/>
        </w:pBdr>
      </w:pPr>
      <w:r>
        <w:rPr>
          <w:rFonts w:ascii="Arial" w:hAnsi="Arial"/>
          <w:b w:val="0"/>
          <w:sz w:val="22"/>
        </w:rPr>
      </w:r>
    </w:p>
    <w:p>
      <w:pPr>
        <w:spacing w:before="80" w:after="40"/>
        <w:jc w:val="center"/>
      </w:pPr>
      <w:r>
        <w:rPr>
          <w:rFonts w:ascii="Arial" w:hAnsi="Arial"/>
          <w:b w:val="0"/>
          <w:sz w:val="20"/>
        </w:rPr>
        <w:t>Rickey Allan Howard  |  Athens, Georgia  |  March 19, 2026</w:t>
      </w:r>
    </w:p>
    <w:p>
      <w:pPr>
        <w:spacing w:before="0" w:after="160"/>
        <w:jc w:val="center"/>
      </w:pPr>
      <w:r>
        <w:rPr>
          <w:rFonts w:ascii="Arial" w:hAnsi="Arial"/>
          <w:b w:val="0"/>
          <w:sz w:val="18"/>
        </w:rPr>
        <w:t>Author: The Sovereign Self: Reclaiming Divine Intent in Law and Governance</w:t>
      </w:r>
    </w:p>
    <w:p>
      <w:pPr>
        <w:spacing w:before="80" w:after="200"/>
        <w:jc w:val="center"/>
      </w:pPr>
      <w:r>
        <w:rPr>
          <w:rFonts w:ascii="Arial" w:hAnsi="Arial"/>
          <w:b w:val="0"/>
          <w:i w:val="0"/>
          <w:sz w:val="18"/>
        </w:rPr>
        <w:t>NOTICE TO ALL FORUMS: This Declaration is presented before any U.S. Federal Court, Georgia State Court, International Human Rights Tribunal, and the Historical Record. It is operative in all four forums simultaneously.</w:t>
      </w:r>
    </w:p>
    <w:p>
      <w:pPr>
        <w:spacing w:before="240" w:after="80"/>
        <w:jc w:val="left"/>
        <w:pBdr>
          <w:bottom w:val="single" w:sz="4" w:space="1" w:color="1a1a2e"/>
        </w:pBdr>
      </w:pPr>
      <w:r>
        <w:rPr>
          <w:rFonts w:ascii="Arial" w:hAnsi="Arial"/>
          <w:b/>
          <w:color w:val="1A1A2E"/>
          <w:sz w:val="22"/>
        </w:rPr>
        <w:t>PREAMBLE: THE NATURE OF THIS DECLARATION</w:t>
      </w:r>
    </w:p>
    <w:p>
      <w:pPr>
        <w:spacing w:before="0" w:after="120"/>
        <w:jc w:val="both"/>
      </w:pPr>
      <w:r>
        <w:rPr>
          <w:rFonts w:ascii="Arial" w:hAnsi="Arial"/>
          <w:b w:val="0"/>
          <w:i w:val="0"/>
          <w:sz w:val="21"/>
        </w:rPr>
        <w:t>This Declaration is not a petition to the system for recognition. It is a statement of pre-existing fact, presented to any forum — federal, state, international, or spiritual — for the record. It asserts no fiction, claims no commercial remedy, and invokes no pseudolegal device. It speaks from the foundation that each individual is a conscious, free-willed creator, endowed with the inherent power to shape their own reality, and that every individual life is a sacred expression of a singular Divine Creation, bestowing it with inherent, inviolable worth.</w:t>
      </w:r>
    </w:p>
    <w:p>
      <w:pPr>
        <w:spacing w:before="240" w:after="80"/>
        <w:jc w:val="left"/>
        <w:pBdr>
          <w:bottom w:val="single" w:sz="4" w:space="1" w:color="1a1a2e"/>
        </w:pBdr>
      </w:pPr>
      <w:r>
        <w:rPr>
          <w:rFonts w:ascii="Arial" w:hAnsi="Arial"/>
          <w:b/>
          <w:color w:val="1A1A2E"/>
          <w:sz w:val="22"/>
        </w:rPr>
        <w:t>ARTICLE I: IDENTITY AND ORIGIN OF STANDING</w:t>
      </w:r>
    </w:p>
    <w:p>
      <w:pPr>
        <w:spacing w:before="0" w:after="120"/>
        <w:jc w:val="both"/>
      </w:pPr>
      <w:r>
        <w:rPr>
          <w:rFonts w:ascii="Arial" w:hAnsi="Arial"/>
          <w:b w:val="0"/>
          <w:i w:val="0"/>
          <w:sz w:val="21"/>
        </w:rPr>
        <w:t>I, Rickey Allan Howard, am a living being whose existence precedes, and is independent of, any instrument of man-made governance. I was not created by the State. I was not granted existence by statute, charter, or constitution. I exist because I am — a biological, spiritual, and energetic expression of Divine Creation, born of this Earth, operating within its natural laws.</w:t>
      </w:r>
    </w:p>
    <w:p>
      <w:pPr>
        <w:spacing w:before="0" w:after="120"/>
        <w:jc w:val="both"/>
      </w:pPr>
      <w:r>
        <w:rPr>
          <w:rFonts w:ascii="Arial" w:hAnsi="Arial"/>
          <w:b w:val="0"/>
          <w:i w:val="0"/>
          <w:sz w:val="21"/>
        </w:rPr>
        <w:t>My ancestral lineage is rooted in the African continent, carried through generations of people whose spiritual sovereignty was systematically targeted, whose sacred traditions were criminalized, and whose bodies were converted into instruments of economic extraction — not by accident, but by deliberate design. My standing before any forum derives not from permission granted by that forum, but from the immutable fact of my being.</w:t>
      </w:r>
    </w:p>
    <w:p>
      <w:pPr>
        <w:spacing w:before="240" w:after="80"/>
        <w:jc w:val="left"/>
        <w:pBdr>
          <w:bottom w:val="single" w:sz="4" w:space="1" w:color="1a1a2e"/>
        </w:pBdr>
      </w:pPr>
      <w:r>
        <w:rPr>
          <w:rFonts w:ascii="Arial" w:hAnsi="Arial"/>
          <w:b/>
          <w:color w:val="1A1A2E"/>
          <w:sz w:val="22"/>
        </w:rPr>
        <w:t>ARTICLE II: THE TWO LAWS — AND WHERE THIS DECLARATION STANDS</w:t>
      </w:r>
    </w:p>
    <w:p>
      <w:pPr>
        <w:spacing w:before="0" w:after="120"/>
        <w:jc w:val="both"/>
      </w:pPr>
      <w:r>
        <w:rPr>
          <w:rFonts w:ascii="Arial" w:hAnsi="Arial"/>
          <w:b w:val="0"/>
          <w:i w:val="0"/>
          <w:sz w:val="21"/>
        </w:rPr>
        <w:t>There are two primary laws operating upon this Earth: Divine Law — the immutable, universal principle that orchestrates existence itself — and Man's Law — the human-constructed systems that, when divorced from Divine Law, often become rigid, self-serving, and destructive.</w:t>
      </w:r>
    </w:p>
    <w:p>
      <w:pPr>
        <w:spacing w:before="0" w:after="120"/>
        <w:jc w:val="both"/>
      </w:pPr>
      <w:r>
        <w:rPr>
          <w:rFonts w:ascii="Arial" w:hAnsi="Arial"/>
          <w:b w:val="0"/>
          <w:i w:val="0"/>
          <w:sz w:val="21"/>
        </w:rPr>
        <w:t>This Declaration operates under both. It does not reject Man's Law. It holds Man's Law accountable to the higher principles from which it claims to derive its own legitimacy. The Declaration of Independence states that all men are endowed by their Creator with certain unalienable rights. The Constitution's Preamble invokes the blessings of liberty. Every judicial oath references God or truth. These are not decorative phrases — they are admissions by the system itself that a higher law exists and governs its own authority.</w:t>
      </w:r>
    </w:p>
    <w:p>
      <w:pPr>
        <w:spacing w:before="0" w:after="120"/>
        <w:jc w:val="both"/>
      </w:pPr>
      <w:r>
        <w:rPr>
          <w:rFonts w:ascii="Arial" w:hAnsi="Arial"/>
          <w:b w:val="0"/>
          <w:i w:val="0"/>
          <w:sz w:val="21"/>
        </w:rPr>
        <w:t>Where Man's Law honors Divine Law, this Declaration works within it. Where Man's Law violates Divine Law, this Declaration calls it to account — using its own words, its own logic, and its own contradictions as the instrument of challenge. This is legal jujutsu: the meticulous study of existing laws, constitutions, and international agreements to identify ambiguities, latent principles, or forgotten clauses that can be reinterpreted in service of Divine Intent.</w:t>
      </w:r>
    </w:p>
    <w:p>
      <w:pPr>
        <w:spacing w:before="240" w:after="80"/>
        <w:jc w:val="left"/>
        <w:pBdr>
          <w:bottom w:val="single" w:sz="4" w:space="1" w:color="1a1a2e"/>
        </w:pBdr>
      </w:pPr>
      <w:r>
        <w:rPr>
          <w:rFonts w:ascii="Arial" w:hAnsi="Arial"/>
          <w:b/>
          <w:color w:val="1A1A2E"/>
          <w:sz w:val="22"/>
        </w:rPr>
        <w:t>ARTICLE III: THE FOUR INJURIES — STATEMENT OF VIOLATIONS</w:t>
      </w:r>
    </w:p>
    <w:p>
      <w:pPr>
        <w:spacing w:before="120" w:after="40"/>
        <w:jc w:val="both"/>
      </w:pPr>
      <w:r>
        <w:rPr>
          <w:rFonts w:ascii="Arial" w:hAnsi="Arial"/>
          <w:b/>
          <w:i w:val="0"/>
          <w:sz w:val="21"/>
        </w:rPr>
        <w:t>Injury One: Spiritual and Religious Violation</w:t>
      </w:r>
    </w:p>
    <w:p>
      <w:pPr>
        <w:spacing w:before="0" w:after="120"/>
        <w:jc w:val="both"/>
      </w:pPr>
      <w:r>
        <w:rPr>
          <w:rFonts w:ascii="Arial" w:hAnsi="Arial"/>
          <w:b w:val="0"/>
          <w:i w:val="0"/>
          <w:sz w:val="21"/>
        </w:rPr>
        <w:t>My spiritual existence — my being as an energetic expression of the Creator, my ancestral spiritual traditions, my cosmological understanding rooted in African and indigenous sacred knowledge — constitutes a sincerely held religious and spiritual belief system. Any state action that treats my being as a commercial asset, a tax unit, a legal fiction, or a managed liability, without acknowledging the sacred nature of that being, constitutes a substantial burden on my exercise of religion under:</w:t>
      </w:r>
    </w:p>
    <w:p>
      <w:pPr>
        <w:pStyle w:val="ListBullet"/>
        <w:spacing w:after="40"/>
        <w:ind w:left="576"/>
      </w:pPr>
      <w:r>
        <w:rPr>
          <w:rFonts w:ascii="Arial" w:hAnsi="Arial"/>
          <w:sz w:val="21"/>
        </w:rPr>
        <w:t>First Amendment to the U.S. Constitution</w:t>
      </w:r>
    </w:p>
    <w:p>
      <w:pPr>
        <w:pStyle w:val="ListBullet"/>
        <w:spacing w:after="40"/>
        <w:ind w:left="576"/>
      </w:pPr>
      <w:r>
        <w:rPr>
          <w:rFonts w:ascii="Arial" w:hAnsi="Arial"/>
          <w:sz w:val="21"/>
        </w:rPr>
        <w:t>Georgia Religious Freedom Restoration Act (O.C.G.A. § 50-3-1 et seq.)</w:t>
      </w:r>
    </w:p>
    <w:p>
      <w:pPr>
        <w:pStyle w:val="ListBullet"/>
        <w:spacing w:after="40"/>
        <w:ind w:left="576"/>
      </w:pPr>
      <w:r>
        <w:rPr>
          <w:rFonts w:ascii="Arial" w:hAnsi="Arial"/>
          <w:sz w:val="21"/>
        </w:rPr>
        <w:t>Religious Freedom Restoration Act, 42 U.S.C. § 2000bb et seq.</w:t>
      </w:r>
    </w:p>
    <w:p>
      <w:pPr>
        <w:pStyle w:val="ListBullet"/>
        <w:spacing w:after="40"/>
        <w:ind w:left="576"/>
      </w:pPr>
      <w:r>
        <w:rPr>
          <w:rFonts w:ascii="Arial" w:hAnsi="Arial"/>
          <w:sz w:val="21"/>
        </w:rPr>
        <w:t>Article 18 of the Universal Declaration of Human Rights</w:t>
      </w:r>
    </w:p>
    <w:p>
      <w:pPr>
        <w:pStyle w:val="ListBullet"/>
        <w:spacing w:after="40"/>
        <w:ind w:left="576"/>
      </w:pPr>
      <w:r>
        <w:rPr>
          <w:rFonts w:ascii="Arial" w:hAnsi="Arial"/>
          <w:sz w:val="21"/>
        </w:rPr>
        <w:t>Article 18 of the International Covenant on Civil and Political Rights (ICCPR)</w:t>
      </w:r>
    </w:p>
    <w:p>
      <w:pPr>
        <w:spacing w:before="160" w:after="40"/>
        <w:jc w:val="both"/>
      </w:pPr>
      <w:r>
        <w:rPr>
          <w:rFonts w:ascii="Arial" w:hAnsi="Arial"/>
          <w:b/>
          <w:i w:val="0"/>
          <w:sz w:val="21"/>
        </w:rPr>
        <w:t>Injury Two: Economic Exploitation and Wealth Extraction</w:t>
      </w:r>
    </w:p>
    <w:p>
      <w:pPr>
        <w:spacing w:before="0" w:after="120"/>
        <w:jc w:val="both"/>
      </w:pPr>
      <w:r>
        <w:rPr>
          <w:rFonts w:ascii="Arial" w:hAnsi="Arial"/>
          <w:b w:val="0"/>
          <w:i w:val="0"/>
          <w:sz w:val="21"/>
        </w:rPr>
        <w:t>The people collectively constitute the fundamental bond of the national economy — the value of fiat currency, the creditworthiness of the government, and overall economic stability are demonstrably dependent upon the ongoing labor, consumption, innovation, and trust of the populace — yet the populace receives no direct financial compensation or interest for this foundational contribution.</w:t>
      </w:r>
    </w:p>
    <w:p>
      <w:pPr>
        <w:spacing w:before="0" w:after="120"/>
        <w:jc w:val="both"/>
      </w:pPr>
      <w:r>
        <w:rPr>
          <w:rFonts w:ascii="Arial" w:hAnsi="Arial"/>
          <w:b w:val="0"/>
          <w:i w:val="0"/>
          <w:sz w:val="21"/>
        </w:rPr>
        <w:t>For the descendants of enslaved Africans specifically, this extraction was not abstract. It was chattel slavery, convict leasing, redlining, predatory lending, and the systematic exclusion from wealth-building mechanisms available to others. The 13th Amendment's punishment clause preserved forced labor. Under Jones v. Alfred H. Mayer Co., 392 U.S. 409 (1968), Congress holds the power to address the lingering badges and incidents of slavery. Under Clyatt v. United States, 197 U.S. 207 (1905), peonage — compelled service for debt — was declared unconstitutional. The economic structure imposed upon my ancestral community meets the historical and legal definition of systemic extraction, not consensual participation.</w:t>
      </w:r>
    </w:p>
    <w:p>
      <w:pPr>
        <w:spacing w:before="160" w:after="40"/>
        <w:jc w:val="both"/>
      </w:pPr>
      <w:r>
        <w:rPr>
          <w:rFonts w:ascii="Arial" w:hAnsi="Arial"/>
          <w:b/>
          <w:i w:val="0"/>
          <w:sz w:val="21"/>
        </w:rPr>
        <w:t>Injury Three: Physical Liberty and Unlawful Detention</w:t>
      </w:r>
    </w:p>
    <w:p>
      <w:pPr>
        <w:spacing w:before="0" w:after="120"/>
        <w:jc w:val="both"/>
      </w:pPr>
      <w:r>
        <w:rPr>
          <w:rFonts w:ascii="Arial" w:hAnsi="Arial"/>
          <w:b w:val="0"/>
          <w:i w:val="0"/>
          <w:sz w:val="21"/>
        </w:rPr>
        <w:t>Civil rights violations under color of law — 18 U.S.C. §§ 241 and 242 — constitute federal crimes for any person acting under law to willfully deprive constitutional or federally protected rights. The disproportionate policing, prosecution, and incarceration of Black Americans in Athens, Georgia and across the United States is not statistical coincidence — it is the documented continuation of a pattern of racial control through the criminal legal system. Any detention or restriction of my physical liberty that relies on racially disparate enforcement constitutes a violation of the Fourth, Fifth, and Fourteenth Amendments, and Article 9 of the International Covenant on Civil and Political Rights.</w:t>
      </w:r>
    </w:p>
    <w:p>
      <w:pPr>
        <w:spacing w:before="160" w:after="40"/>
        <w:jc w:val="both"/>
      </w:pPr>
      <w:r>
        <w:rPr>
          <w:rFonts w:ascii="Arial" w:hAnsi="Arial"/>
          <w:b/>
          <w:i w:val="0"/>
          <w:sz w:val="21"/>
        </w:rPr>
        <w:t>Injury Four: Ancestral Land and Indigenous Rights</w:t>
      </w:r>
    </w:p>
    <w:p>
      <w:pPr>
        <w:spacing w:before="0" w:after="120"/>
        <w:jc w:val="both"/>
      </w:pPr>
      <w:r>
        <w:rPr>
          <w:rFonts w:ascii="Arial" w:hAnsi="Arial"/>
          <w:b w:val="0"/>
          <w:i w:val="0"/>
          <w:sz w:val="21"/>
        </w:rPr>
        <w:t>My people's ancestral connection to this land — the land of Athens, Georgia, of the American South, of the African continent — was severed by force. Land was taken. Inheritance was denied. Connection to earth as sacred ground was criminalized and replaced with a commercial framework that serves extraction. The Earth as a living, electromagnetic, spiritually inhabited system — consistent with the scientific principles of piezoelectricity, the Schumann Resonance, and biofield research — constitutes a valid, sincerely held framework of ancestral land relationship entitled to protection under international indigenous rights doctrine, including ILO Convention No. 169 and the UN Declaration on the Rights of Indigenous Peoples (UNDRIP).</w:t>
      </w:r>
    </w:p>
    <w:p>
      <w:pPr>
        <w:spacing w:before="240" w:after="80"/>
        <w:jc w:val="left"/>
        <w:pBdr>
          <w:bottom w:val="single" w:sz="4" w:space="1" w:color="1a1a2e"/>
        </w:pBdr>
      </w:pPr>
      <w:r>
        <w:rPr>
          <w:rFonts w:ascii="Arial" w:hAnsi="Arial"/>
          <w:b/>
          <w:color w:val="1A1A2E"/>
          <w:sz w:val="22"/>
        </w:rPr>
        <w:t>ARTICLE IV: THE LEGITIMACY QUESTION</w:t>
      </w:r>
    </w:p>
    <w:p>
      <w:pPr>
        <w:spacing w:before="0" w:after="120"/>
        <w:jc w:val="both"/>
      </w:pPr>
      <w:r>
        <w:rPr>
          <w:rFonts w:ascii="Arial" w:hAnsi="Arial"/>
          <w:b w:val="0"/>
          <w:i w:val="0"/>
          <w:sz w:val="21"/>
        </w:rPr>
        <w:t>The social contract underlying the Constitution was a contract of exclusion, designed for roughly 6% of the 1790 population — white, male landowners. For those historically excluded from its founding compact, there is no legitimate contractual obligation to the agent operating under this flawed Constitution, especially when inherent rights are violated with impunity. This is not an argument for lawlessness. It is a demand for the system to be honest about its own history and to apply its own stated principles — liberty, equal protection, freedom of conscience — to those it excluded at inception.</w:t>
      </w:r>
    </w:p>
    <w:p>
      <w:pPr>
        <w:spacing w:before="0" w:after="120"/>
        <w:jc w:val="both"/>
      </w:pPr>
      <w:r>
        <w:rPr>
          <w:rFonts w:ascii="Arial" w:hAnsi="Arial"/>
          <w:b w:val="0"/>
          <w:i w:val="0"/>
          <w:sz w:val="21"/>
        </w:rPr>
        <w:t>The system cannot simultaneously claim universal legitimacy and exclude the majority of humanity from its founding compact. Where the system lives up to its stated principles, this Declaration engages with it. Where it does not, this Declaration holds the record.</w:t>
      </w:r>
    </w:p>
    <w:p>
      <w:pPr>
        <w:spacing w:before="240" w:after="80"/>
        <w:jc w:val="left"/>
        <w:pBdr>
          <w:bottom w:val="single" w:sz="4" w:space="1" w:color="1a1a2e"/>
        </w:pBdr>
      </w:pPr>
      <w:r>
        <w:rPr>
          <w:rFonts w:ascii="Arial" w:hAnsi="Arial"/>
          <w:b/>
          <w:color w:val="1A1A2E"/>
          <w:sz w:val="22"/>
        </w:rPr>
        <w:t>ARTICLE V: FORUM NOTICE AND ASSERTION OF RIGHTS</w:t>
      </w:r>
    </w:p>
    <w:p>
      <w:pPr>
        <w:spacing w:before="80" w:after="80"/>
        <w:jc w:val="both"/>
      </w:pPr>
      <w:r>
        <w:rPr>
          <w:rFonts w:ascii="Arial" w:hAnsi="Arial"/>
          <w:b/>
          <w:sz w:val="21"/>
        </w:rPr>
        <w:t xml:space="preserve">U.S. Federal Court:  </w:t>
      </w:r>
      <w:r>
        <w:rPr>
          <w:rFonts w:ascii="Arial" w:hAnsi="Arial"/>
          <w:sz w:val="21"/>
        </w:rPr>
        <w:t>First, Fourth, Fifth, Thirteenth, and Fourteenth Amendments; RFRA (42 U.S.C. § 2000bb); Badges and Incidents Doctrine (Jones v. Mayer, 1968); 18 U.S.C. §§ 241–242.</w:t>
      </w:r>
    </w:p>
    <w:p>
      <w:pPr>
        <w:spacing w:before="80" w:after="80"/>
        <w:jc w:val="both"/>
      </w:pPr>
      <w:r>
        <w:rPr>
          <w:rFonts w:ascii="Arial" w:hAnsi="Arial"/>
          <w:b/>
          <w:sz w:val="21"/>
        </w:rPr>
        <w:t xml:space="preserve">Georgia State Court:  </w:t>
      </w:r>
      <w:r>
        <w:rPr>
          <w:rFonts w:ascii="Arial" w:hAnsi="Arial"/>
          <w:sz w:val="21"/>
        </w:rPr>
        <w:t>Georgia Constitution Art. I, Sec. I, Par. I, II, and IV; Georgia RFRA (O.C.G.A. § 50-3-1); Western Judicial Circuit obligations of equal protection.</w:t>
      </w:r>
    </w:p>
    <w:p>
      <w:pPr>
        <w:spacing w:before="80" w:after="80"/>
        <w:jc w:val="both"/>
      </w:pPr>
      <w:r>
        <w:rPr>
          <w:rFonts w:ascii="Arial" w:hAnsi="Arial"/>
          <w:b/>
          <w:sz w:val="21"/>
        </w:rPr>
        <w:t xml:space="preserve">International Human Rights Tribunal:  </w:t>
      </w:r>
      <w:r>
        <w:rPr>
          <w:rFonts w:ascii="Arial" w:hAnsi="Arial"/>
          <w:sz w:val="21"/>
        </w:rPr>
        <w:t>Universal Declaration of Human Rights; ICCPR; ICESCR; UNDRIP; ILO Convention No. 169; Inter-American Commission on Human Rights framework for systemic racial discrimination.</w:t>
      </w:r>
    </w:p>
    <w:p>
      <w:pPr>
        <w:spacing w:before="80" w:after="80"/>
        <w:jc w:val="both"/>
      </w:pPr>
      <w:r>
        <w:rPr>
          <w:rFonts w:ascii="Arial" w:hAnsi="Arial"/>
          <w:b/>
          <w:sz w:val="21"/>
        </w:rPr>
        <w:t xml:space="preserve">The Historical Record:  </w:t>
      </w:r>
      <w:r>
        <w:rPr>
          <w:rFonts w:ascii="Arial" w:hAnsi="Arial"/>
          <w:sz w:val="21"/>
        </w:rPr>
        <w:t>This Declaration stands as a living document of spiritual, ancestral, and legal standing — authored, signed, and sealed by a living being who exists not by the grace of the state, but by the grace of the Creator whose authority the state itself acknowledges in its own foundational texts.</w:t>
      </w:r>
    </w:p>
    <w:p>
      <w:pPr>
        <w:spacing w:before="240" w:after="80"/>
        <w:jc w:val="left"/>
        <w:pBdr>
          <w:bottom w:val="single" w:sz="4" w:space="1" w:color="1a1a2e"/>
        </w:pBdr>
      </w:pPr>
      <w:r>
        <w:rPr>
          <w:rFonts w:ascii="Arial" w:hAnsi="Arial"/>
          <w:b/>
          <w:color w:val="1A1A2E"/>
          <w:sz w:val="22"/>
        </w:rPr>
        <w:t>ARTICLE VI: CLOSING AFFIRMATION</w:t>
      </w:r>
    </w:p>
    <w:p>
      <w:pPr>
        <w:spacing w:before="0" w:after="80"/>
        <w:ind w:left="432" w:right="432"/>
        <w:jc w:val="both"/>
      </w:pPr>
      <w:r>
        <w:rPr>
          <w:rFonts w:ascii="Arial" w:hAnsi="Arial"/>
          <w:i/>
          <w:color w:val="333355"/>
          <w:sz w:val="20"/>
        </w:rPr>
        <w:t>"I know the divine, because I am. I exist because I do."</w:t>
      </w:r>
    </w:p>
    <w:p>
      <w:pPr>
        <w:spacing w:before="120" w:after="320"/>
        <w:jc w:val="both"/>
      </w:pPr>
      <w:r>
        <w:rPr>
          <w:rFonts w:ascii="Arial" w:hAnsi="Arial"/>
          <w:b w:val="0"/>
          <w:i w:val="0"/>
          <w:sz w:val="21"/>
        </w:rPr>
        <w:t>This Declaration is made in truth, in full standing, and in the name of all those whose beings were diminished, extracted, and denied — and whose descendants now reclaim what was never legitimately taken.</w:t>
      </w:r>
    </w:p>
    <w:p>
      <w:pPr>
        <w:spacing w:before="0" w:after="0"/>
        <w:jc w:val="both"/>
        <w:pBdr>
          <w:bottom w:val="single" w:sz="4" w:space="1" w:color="1a1a2e"/>
        </w:pBdr>
      </w:pPr>
      <w:r>
        <w:rPr>
          <w:rFonts w:ascii="Arial" w:hAnsi="Arial"/>
          <w:b w:val="0"/>
          <w:i w:val="0"/>
          <w:sz w:val="21"/>
        </w:rPr>
      </w:r>
    </w:p>
    <w:p>
      <w:pPr>
        <w:spacing w:before="120" w:after="40"/>
        <w:jc w:val="left"/>
      </w:pPr>
      <w:r>
        <w:rPr>
          <w:rFonts w:ascii="Arial" w:hAnsi="Arial"/>
          <w:b/>
          <w:sz w:val="21"/>
        </w:rPr>
        <w:t xml:space="preserve">By: </w:t>
      </w:r>
      <w:r>
        <w:rPr>
          <w:rFonts w:ascii="Arial" w:hAnsi="Arial"/>
          <w:sz w:val="21"/>
        </w:rPr>
        <w:t>____________________________________________________</w:t>
      </w:r>
    </w:p>
    <w:p>
      <w:pPr>
        <w:spacing w:before="120" w:after="40"/>
        <w:jc w:val="left"/>
      </w:pPr>
      <w:r>
        <w:rPr>
          <w:rFonts w:ascii="Arial" w:hAnsi="Arial"/>
          <w:b/>
          <w:sz w:val="21"/>
        </w:rPr>
        <w:t xml:space="preserve">Print: </w:t>
      </w:r>
      <w:r>
        <w:rPr>
          <w:rFonts w:ascii="Arial" w:hAnsi="Arial"/>
          <w:sz w:val="21"/>
        </w:rPr>
        <w:t>Rickey Allan Howard</w:t>
      </w:r>
    </w:p>
    <w:p>
      <w:pPr>
        <w:spacing w:before="120" w:after="40"/>
        <w:jc w:val="left"/>
      </w:pPr>
      <w:r>
        <w:rPr>
          <w:rFonts w:ascii="Arial" w:hAnsi="Arial"/>
          <w:b/>
          <w:sz w:val="21"/>
        </w:rPr>
        <w:t xml:space="preserve">Date: </w:t>
      </w:r>
      <w:r>
        <w:rPr>
          <w:rFonts w:ascii="Arial" w:hAnsi="Arial"/>
          <w:sz w:val="21"/>
        </w:rPr>
        <w:t>March 19, 2026</w:t>
      </w:r>
    </w:p>
    <w:p>
      <w:pPr>
        <w:spacing w:before="120" w:after="40"/>
        <w:jc w:val="left"/>
      </w:pPr>
      <w:r>
        <w:rPr>
          <w:rFonts w:ascii="Arial" w:hAnsi="Arial"/>
          <w:b/>
          <w:sz w:val="21"/>
        </w:rPr>
        <w:t xml:space="preserve">Location: </w:t>
      </w:r>
      <w:r>
        <w:rPr>
          <w:rFonts w:ascii="Arial" w:hAnsi="Arial"/>
          <w:sz w:val="21"/>
        </w:rPr>
        <w:t>Athens, Georgia</w:t>
      </w:r>
    </w:p>
    <w:p>
      <w:pPr>
        <w:spacing w:before="80" w:after="80"/>
        <w:jc w:val="both"/>
      </w:pPr>
      <w:r>
        <w:rPr>
          <w:rFonts w:ascii="Arial" w:hAnsi="Arial"/>
          <w:b w:val="0"/>
          <w:i w:val="0"/>
          <w:sz w:val="21"/>
        </w:rPr>
        <w:t xml:space="preserve"> </w:t>
      </w:r>
    </w:p>
    <w:p>
      <w:pPr>
        <w:spacing w:before="80" w:after="40"/>
        <w:jc w:val="center"/>
      </w:pPr>
      <w:r>
        <w:rPr>
          <w:rFonts w:ascii="Arial" w:hAnsi="Arial"/>
          <w:b w:val="0"/>
          <w:i w:val="0"/>
          <w:sz w:val="18"/>
        </w:rPr>
        <w:t>Living Being  |  One with the Creator  |  Seed of the Earth  |  Athens, Georgia</w:t>
      </w:r>
    </w:p>
    <w:p>
      <w:pPr>
        <w:spacing w:before="0" w:after="160"/>
        <w:jc w:val="center"/>
      </w:pPr>
      <w:r>
        <w:rPr>
          <w:rFonts w:ascii="Arial" w:hAnsi="Arial"/>
          <w:b w:val="0"/>
          <w:i w:val="0"/>
          <w:sz w:val="18"/>
        </w:rPr>
        <w:t>Author: The Sovereign Self — Reclaiming Divine Intent in Law and Governance</w:t>
      </w:r>
    </w:p>
    <w:p>
      <w:pPr>
        <w:spacing w:before="0" w:after="0"/>
        <w:jc w:val="both"/>
        <w:pBdr>
          <w:bottom w:val="single" w:sz="2" w:space="1" w:color="888888"/>
        </w:pBdr>
      </w:pPr>
      <w:r>
        <w:rPr>
          <w:rFonts w:ascii="Arial" w:hAnsi="Arial"/>
          <w:b w:val="0"/>
          <w:i w:val="0"/>
          <w:sz w:val="21"/>
        </w:rPr>
      </w:r>
    </w:p>
    <w:p>
      <w:pPr>
        <w:spacing w:before="80" w:after="0"/>
        <w:jc w:val="center"/>
      </w:pPr>
      <w:r>
        <w:rPr>
          <w:rFonts w:ascii="Arial" w:hAnsi="Arial"/>
          <w:b w:val="0"/>
          <w:i w:val="0"/>
          <w:sz w:val="16"/>
        </w:rPr>
        <w:t>This document is a Declaration of Standing rooted in natural law, constitutional law, international human rights law, and sincere religious belief. It is not a commercial instrument, UCC filing, or sovereign citizen document. It is presented for lawful record and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