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i w:val="0"/>
          <w:color w:val="1A1A2E"/>
          <w:sz w:val="26"/>
        </w:rPr>
        <w:t>IN THE MATTER OF THE SOVEREIGN BEING</w:t>
      </w:r>
    </w:p>
    <w:p>
      <w:pPr>
        <w:spacing w:before="0" w:after="40"/>
        <w:jc w:val="center"/>
      </w:pPr>
      <w:r>
        <w:rPr>
          <w:rFonts w:ascii="Arial" w:hAnsi="Arial"/>
          <w:b/>
          <w:i w:val="0"/>
          <w:color w:val="1A1A2E"/>
          <w:sz w:val="24"/>
        </w:rPr>
        <w:t>LIVING BEING: RICKEY ALLAN HOWARD</w:t>
      </w:r>
    </w:p>
    <w:p>
      <w:pPr>
        <w:spacing w:before="80" w:after="80"/>
        <w:jc w:val="center"/>
        <w:pBdr>
          <w:bottom w:val="single" w:sz="8" w:space="1" w:color="1a1a2e"/>
        </w:pBdr>
      </w:pPr>
    </w:p>
    <w:p>
      <w:pPr>
        <w:spacing w:before="80" w:after="60"/>
        <w:jc w:val="center"/>
      </w:pPr>
      <w:r>
        <w:rPr>
          <w:rFonts w:ascii="Arial" w:hAnsi="Arial"/>
          <w:b/>
          <w:i w:val="0"/>
          <w:color w:val="1A1A2E"/>
          <w:sz w:val="28"/>
        </w:rPr>
        <w:t>FORMAL LEGAL DOCTRINE</w:t>
      </w:r>
    </w:p>
    <w:p>
      <w:pPr>
        <w:spacing w:before="0" w:after="40"/>
        <w:jc w:val="center"/>
      </w:pPr>
      <w:r>
        <w:rPr>
          <w:rFonts w:ascii="Arial" w:hAnsi="Arial"/>
          <w:b/>
          <w:i w:val="0"/>
          <w:color w:val="222244"/>
          <w:sz w:val="22"/>
        </w:rPr>
        <w:t>THE DOCTRINE OF PRE-POLITICAL SOVEREIGN BEING:</w:t>
      </w:r>
    </w:p>
    <w:p>
      <w:pPr>
        <w:spacing w:before="0" w:after="40"/>
        <w:jc w:val="center"/>
      </w:pPr>
      <w:r>
        <w:rPr>
          <w:rFonts w:ascii="Arial" w:hAnsi="Arial"/>
          <w:b w:val="0"/>
          <w:i/>
          <w:color w:val="222244"/>
          <w:sz w:val="22"/>
        </w:rPr>
        <w:t>Natural Law, Divine Standing, and the Rights of the Spiritual Man</w:t>
      </w:r>
    </w:p>
    <w:p>
      <w:pPr>
        <w:spacing w:before="0" w:after="120"/>
        <w:jc w:val="center"/>
      </w:pPr>
      <w:r>
        <w:rPr>
          <w:rFonts w:ascii="Arial" w:hAnsi="Arial"/>
          <w:b w:val="0"/>
          <w:i/>
          <w:color w:val="555577"/>
          <w:sz w:val="20"/>
        </w:rPr>
        <w:t>Against the Overreach of Man-Made Law</w:t>
      </w:r>
    </w:p>
    <w:p>
      <w:pPr>
        <w:spacing w:before="40" w:after="80"/>
        <w:jc w:val="center"/>
        <w:pBdr>
          <w:bottom w:val="single" w:sz="4" w:space="1" w:color="1a1a2e"/>
        </w:pBdr>
      </w:pPr>
    </w:p>
    <w:p>
      <w:pPr>
        <w:spacing w:before="40" w:after="40"/>
        <w:jc w:val="center"/>
      </w:pPr>
      <w:r>
        <w:rPr>
          <w:rFonts w:ascii="Arial" w:hAnsi="Arial"/>
          <w:b w:val="0"/>
          <w:i w:val="0"/>
          <w:color w:val="555577"/>
          <w:sz w:val="20"/>
        </w:rPr>
        <w:t>Athens, Georgia  |  March 19, 2026</w:t>
      </w:r>
    </w:p>
    <w:p>
      <w:pPr>
        <w:spacing w:before="0" w:after="40"/>
        <w:jc w:val="center"/>
      </w:pPr>
      <w:r>
        <w:rPr>
          <w:rFonts w:ascii="Arial" w:hAnsi="Arial"/>
          <w:b w:val="0"/>
          <w:i w:val="0"/>
          <w:color w:val="555577"/>
          <w:sz w:val="20"/>
        </w:rPr>
        <w:t>Prepared by: Rickey Allan Howard</w:t>
      </w:r>
    </w:p>
    <w:p>
      <w:pPr>
        <w:spacing w:before="0" w:after="160"/>
        <w:jc w:val="center"/>
      </w:pPr>
      <w:r>
        <w:rPr>
          <w:rFonts w:ascii="Arial" w:hAnsi="Arial"/>
          <w:b w:val="0"/>
          <w:i/>
          <w:color w:val="555577"/>
          <w:sz w:val="18"/>
        </w:rPr>
        <w:t>Author: The Sovereign Self: Reclaiming Divine Intent in Law and Governance (7 Volumes)</w:t>
      </w:r>
    </w:p>
    <w:p>
      <w:pPr>
        <w:spacing w:before="40" w:after="120"/>
        <w:jc w:val="center"/>
        <w:pBdr>
          <w:bottom w:val="single" w:sz="8" w:space="1" w:color="1a1a2e"/>
        </w:pBdr>
      </w:pPr>
    </w:p>
    <w:p>
      <w:pPr>
        <w:spacing w:before="40" w:after="80"/>
        <w:jc w:val="center"/>
      </w:pPr>
      <w:r>
        <w:rPr>
          <w:rFonts w:ascii="Arial" w:hAnsi="Arial"/>
          <w:b/>
          <w:i w:val="0"/>
          <w:color w:val="1A1A2E"/>
          <w:sz w:val="20"/>
        </w:rPr>
        <w:t>PREFATORY NOTE</w:t>
      </w:r>
    </w:p>
    <w:p>
      <w:pPr>
        <w:spacing w:before="40" w:after="160"/>
        <w:jc w:val="both"/>
      </w:pPr>
      <w:r>
        <w:rPr>
          <w:rFonts w:ascii="Arial" w:hAnsi="Arial"/>
          <w:b w:val="0"/>
          <w:i w:val="0"/>
          <w:color w:val="000000"/>
          <w:sz w:val="21"/>
        </w:rPr>
        <w:t>This Doctrine is a formal legal and philosophical memorandum establishing the standing, rights, and defenses of any living being of African or indigenous descent whose existence, spiritual practice, ancestral heritage, and economic participation have been subjected to systematic overreach by instruments of Man-Made Law. It is presented for use before any U.S. Federal Court, Georgia State Court, International Human Rights Tribunal, and as a permanent contribution to the historical record. It is not a commercial instrument, UCC filing, or pseudolegal device. Every argument herein is anchored to existing statute, constitutional provision, binding case law, or recognized international instrument.</w:t>
      </w:r>
    </w:p>
    <w:p>
      <w:r>
        <w:br w:type="page"/>
      </w:r>
    </w:p>
    <w:p>
      <w:pPr>
        <w:spacing w:before="0" w:after="160"/>
        <w:jc w:val="center"/>
      </w:pPr>
      <w:r>
        <w:rPr>
          <w:rFonts w:ascii="Arial" w:hAnsi="Arial"/>
          <w:b/>
          <w:i w:val="0"/>
          <w:color w:val="1A1A2E"/>
          <w:sz w:val="22"/>
        </w:rPr>
        <w:t>TABLE OF CONTENTS</w:t>
      </w:r>
    </w:p>
    <w:p>
      <w:pPr>
        <w:spacing w:before="40" w:after="40"/>
        <w:ind w:left="288"/>
        <w:jc w:val="left"/>
      </w:pPr>
      <w:r>
        <w:rPr>
          <w:rFonts w:ascii="Arial" w:hAnsi="Arial"/>
          <w:b/>
          <w:i w:val="0"/>
          <w:color w:val="1A1A2E"/>
          <w:sz w:val="21"/>
        </w:rPr>
        <w:t xml:space="preserve">I.  </w:t>
      </w:r>
      <w:r>
        <w:rPr>
          <w:rFonts w:ascii="Arial" w:hAnsi="Arial"/>
          <w:b w:val="0"/>
          <w:i w:val="0"/>
          <w:color w:val="000000"/>
          <w:sz w:val="21"/>
        </w:rPr>
        <w:t>Statement of the Doctrine</w:t>
      </w:r>
    </w:p>
    <w:p>
      <w:pPr>
        <w:spacing w:before="40" w:after="40"/>
        <w:ind w:left="288"/>
        <w:jc w:val="left"/>
      </w:pPr>
      <w:r>
        <w:rPr>
          <w:rFonts w:ascii="Arial" w:hAnsi="Arial"/>
          <w:b/>
          <w:i w:val="0"/>
          <w:color w:val="1A1A2E"/>
          <w:sz w:val="21"/>
        </w:rPr>
        <w:t xml:space="preserve">II.  </w:t>
      </w:r>
      <w:r>
        <w:rPr>
          <w:rFonts w:ascii="Arial" w:hAnsi="Arial"/>
          <w:b w:val="0"/>
          <w:i w:val="0"/>
          <w:color w:val="000000"/>
          <w:sz w:val="21"/>
        </w:rPr>
        <w:t>Foundational Premises</w:t>
      </w:r>
    </w:p>
    <w:p>
      <w:pPr>
        <w:spacing w:before="40" w:after="40"/>
        <w:ind w:left="288"/>
        <w:jc w:val="left"/>
      </w:pPr>
      <w:r>
        <w:rPr>
          <w:rFonts w:ascii="Arial" w:hAnsi="Arial"/>
          <w:b/>
          <w:i w:val="0"/>
          <w:color w:val="1A1A2E"/>
          <w:sz w:val="21"/>
        </w:rPr>
        <w:t xml:space="preserve">III.  </w:t>
      </w:r>
      <w:r>
        <w:rPr>
          <w:rFonts w:ascii="Arial" w:hAnsi="Arial"/>
          <w:b w:val="0"/>
          <w:i w:val="0"/>
          <w:color w:val="000000"/>
          <w:sz w:val="21"/>
        </w:rPr>
        <w:t>The Two-Laws Framework</w:t>
      </w:r>
    </w:p>
    <w:p>
      <w:pPr>
        <w:spacing w:before="40" w:after="40"/>
        <w:ind w:left="288"/>
        <w:jc w:val="left"/>
      </w:pPr>
      <w:r>
        <w:rPr>
          <w:rFonts w:ascii="Arial" w:hAnsi="Arial"/>
          <w:b/>
          <w:i w:val="0"/>
          <w:color w:val="1A1A2E"/>
          <w:sz w:val="21"/>
        </w:rPr>
        <w:t xml:space="preserve">IV.  </w:t>
      </w:r>
      <w:r>
        <w:rPr>
          <w:rFonts w:ascii="Arial" w:hAnsi="Arial"/>
          <w:b w:val="0"/>
          <w:i w:val="0"/>
          <w:color w:val="000000"/>
          <w:sz w:val="21"/>
        </w:rPr>
        <w:t>Constitutional Pillars</w:t>
      </w:r>
    </w:p>
    <w:p>
      <w:pPr>
        <w:spacing w:before="40" w:after="40"/>
        <w:ind w:left="288"/>
        <w:jc w:val="left"/>
      </w:pPr>
      <w:r>
        <w:rPr>
          <w:rFonts w:ascii="Arial" w:hAnsi="Arial"/>
          <w:b/>
          <w:i w:val="0"/>
          <w:color w:val="1A1A2E"/>
          <w:sz w:val="21"/>
        </w:rPr>
        <w:t xml:space="preserve">V.  </w:t>
      </w:r>
      <w:r>
        <w:rPr>
          <w:rFonts w:ascii="Arial" w:hAnsi="Arial"/>
          <w:b w:val="0"/>
          <w:i w:val="0"/>
          <w:color w:val="000000"/>
          <w:sz w:val="21"/>
        </w:rPr>
        <w:t>The RFRA Argument: Spiritual Existence as Protected Belief</w:t>
      </w:r>
    </w:p>
    <w:p>
      <w:pPr>
        <w:spacing w:before="40" w:after="40"/>
        <w:ind w:left="288"/>
        <w:jc w:val="left"/>
      </w:pPr>
      <w:r>
        <w:rPr>
          <w:rFonts w:ascii="Arial" w:hAnsi="Arial"/>
          <w:b/>
          <w:i w:val="0"/>
          <w:color w:val="1A1A2E"/>
          <w:sz w:val="21"/>
        </w:rPr>
        <w:t xml:space="preserve">VI.  </w:t>
      </w:r>
      <w:r>
        <w:rPr>
          <w:rFonts w:ascii="Arial" w:hAnsi="Arial"/>
          <w:b w:val="0"/>
          <w:i w:val="0"/>
          <w:color w:val="000000"/>
          <w:sz w:val="21"/>
        </w:rPr>
        <w:t>The Social Contract Gap: Legitimacy and Consent</w:t>
      </w:r>
    </w:p>
    <w:p>
      <w:pPr>
        <w:spacing w:before="40" w:after="40"/>
        <w:ind w:left="288"/>
        <w:jc w:val="left"/>
      </w:pPr>
      <w:r>
        <w:rPr>
          <w:rFonts w:ascii="Arial" w:hAnsi="Arial"/>
          <w:b/>
          <w:i w:val="0"/>
          <w:color w:val="1A1A2E"/>
          <w:sz w:val="21"/>
        </w:rPr>
        <w:t xml:space="preserve">VII.  </w:t>
      </w:r>
      <w:r>
        <w:rPr>
          <w:rFonts w:ascii="Arial" w:hAnsi="Arial"/>
          <w:b w:val="0"/>
          <w:i w:val="0"/>
          <w:color w:val="000000"/>
          <w:sz w:val="21"/>
        </w:rPr>
        <w:t>The Badges and Incidents Doctrine: Economic Sovereignty</w:t>
      </w:r>
    </w:p>
    <w:p>
      <w:pPr>
        <w:spacing w:before="40" w:after="40"/>
        <w:ind w:left="288"/>
        <w:jc w:val="left"/>
      </w:pPr>
      <w:r>
        <w:rPr>
          <w:rFonts w:ascii="Arial" w:hAnsi="Arial"/>
          <w:b/>
          <w:i w:val="0"/>
          <w:color w:val="1A1A2E"/>
          <w:sz w:val="21"/>
        </w:rPr>
        <w:t xml:space="preserve">VIII.  </w:t>
      </w:r>
      <w:r>
        <w:rPr>
          <w:rFonts w:ascii="Arial" w:hAnsi="Arial"/>
          <w:b w:val="0"/>
          <w:i w:val="0"/>
          <w:color w:val="000000"/>
          <w:sz w:val="21"/>
        </w:rPr>
        <w:t>Physical Liberty and Unlawful Detention</w:t>
      </w:r>
    </w:p>
    <w:p>
      <w:pPr>
        <w:spacing w:before="40" w:after="40"/>
        <w:ind w:left="288"/>
        <w:jc w:val="left"/>
      </w:pPr>
      <w:r>
        <w:rPr>
          <w:rFonts w:ascii="Arial" w:hAnsi="Arial"/>
          <w:b/>
          <w:i w:val="0"/>
          <w:color w:val="1A1A2E"/>
          <w:sz w:val="21"/>
        </w:rPr>
        <w:t xml:space="preserve">IX.  </w:t>
      </w:r>
      <w:r>
        <w:rPr>
          <w:rFonts w:ascii="Arial" w:hAnsi="Arial"/>
          <w:b w:val="0"/>
          <w:i w:val="0"/>
          <w:color w:val="000000"/>
          <w:sz w:val="21"/>
        </w:rPr>
        <w:t>Ancestral Land and Indigenous Rights</w:t>
      </w:r>
    </w:p>
    <w:p>
      <w:pPr>
        <w:spacing w:before="40" w:after="40"/>
        <w:ind w:left="288"/>
        <w:jc w:val="left"/>
      </w:pPr>
      <w:r>
        <w:rPr>
          <w:rFonts w:ascii="Arial" w:hAnsi="Arial"/>
          <w:b/>
          <w:i w:val="0"/>
          <w:color w:val="1A1A2E"/>
          <w:sz w:val="21"/>
        </w:rPr>
        <w:t xml:space="preserve">X.  </w:t>
      </w:r>
      <w:r>
        <w:rPr>
          <w:rFonts w:ascii="Arial" w:hAnsi="Arial"/>
          <w:b w:val="0"/>
          <w:i w:val="0"/>
          <w:color w:val="000000"/>
          <w:sz w:val="21"/>
        </w:rPr>
        <w:t>Scientific Grounding: The Bio-Cosmic Framework</w:t>
      </w:r>
    </w:p>
    <w:p>
      <w:pPr>
        <w:spacing w:before="40" w:after="40"/>
        <w:ind w:left="288"/>
        <w:jc w:val="left"/>
      </w:pPr>
      <w:r>
        <w:rPr>
          <w:rFonts w:ascii="Arial" w:hAnsi="Arial"/>
          <w:b/>
          <w:i w:val="0"/>
          <w:color w:val="1A1A2E"/>
          <w:sz w:val="21"/>
        </w:rPr>
        <w:t xml:space="preserve">XI.  </w:t>
      </w:r>
      <w:r>
        <w:rPr>
          <w:rFonts w:ascii="Arial" w:hAnsi="Arial"/>
          <w:b w:val="0"/>
          <w:i w:val="0"/>
          <w:color w:val="000000"/>
          <w:sz w:val="21"/>
        </w:rPr>
        <w:t>International Human Rights Law</w:t>
      </w:r>
    </w:p>
    <w:p>
      <w:pPr>
        <w:spacing w:before="40" w:after="40"/>
        <w:ind w:left="288"/>
        <w:jc w:val="left"/>
      </w:pPr>
      <w:r>
        <w:rPr>
          <w:rFonts w:ascii="Arial" w:hAnsi="Arial"/>
          <w:b/>
          <w:i w:val="0"/>
          <w:color w:val="1A1A2E"/>
          <w:sz w:val="21"/>
        </w:rPr>
        <w:t xml:space="preserve">XII.  </w:t>
      </w:r>
      <w:r>
        <w:rPr>
          <w:rFonts w:ascii="Arial" w:hAnsi="Arial"/>
          <w:b w:val="0"/>
          <w:i w:val="0"/>
          <w:color w:val="000000"/>
          <w:sz w:val="21"/>
        </w:rPr>
        <w:t>Loper Bright and the End of Agency Deference</w:t>
      </w:r>
    </w:p>
    <w:p>
      <w:pPr>
        <w:spacing w:before="40" w:after="40"/>
        <w:ind w:left="288"/>
        <w:jc w:val="left"/>
      </w:pPr>
      <w:r>
        <w:rPr>
          <w:rFonts w:ascii="Arial" w:hAnsi="Arial"/>
          <w:b/>
          <w:i w:val="0"/>
          <w:color w:val="1A1A2E"/>
          <w:sz w:val="21"/>
        </w:rPr>
        <w:t xml:space="preserve">XIII.  </w:t>
      </w:r>
      <w:r>
        <w:rPr>
          <w:rFonts w:ascii="Arial" w:hAnsi="Arial"/>
          <w:b w:val="0"/>
          <w:i w:val="0"/>
          <w:color w:val="000000"/>
          <w:sz w:val="21"/>
        </w:rPr>
        <w:t>The Doctrine Applied: A Defense Framework</w:t>
      </w:r>
    </w:p>
    <w:p>
      <w:pPr>
        <w:spacing w:before="40" w:after="40"/>
        <w:ind w:left="288"/>
        <w:jc w:val="left"/>
      </w:pPr>
      <w:r>
        <w:rPr>
          <w:rFonts w:ascii="Arial" w:hAnsi="Arial"/>
          <w:b/>
          <w:i w:val="0"/>
          <w:color w:val="1A1A2E"/>
          <w:sz w:val="21"/>
        </w:rPr>
        <w:t xml:space="preserve">XIV.  </w:t>
      </w:r>
      <w:r>
        <w:rPr>
          <w:rFonts w:ascii="Arial" w:hAnsi="Arial"/>
          <w:b w:val="0"/>
          <w:i w:val="0"/>
          <w:color w:val="000000"/>
          <w:sz w:val="21"/>
        </w:rPr>
        <w:t>Conclusion and Remedy</w:t>
      </w:r>
    </w:p>
    <w:p>
      <w:pPr>
        <w:spacing w:before="40" w:after="40"/>
        <w:ind w:left="288"/>
        <w:jc w:val="left"/>
      </w:pPr>
      <w:r>
        <w:rPr>
          <w:rFonts w:ascii="Arial" w:hAnsi="Arial"/>
          <w:b/>
          <w:i w:val="0"/>
          <w:color w:val="1A1A2E"/>
          <w:sz w:val="21"/>
        </w:rPr>
        <w:t xml:space="preserve">XV.  </w:t>
      </w:r>
      <w:r>
        <w:rPr>
          <w:rFonts w:ascii="Arial" w:hAnsi="Arial"/>
          <w:b w:val="0"/>
          <w:i w:val="0"/>
          <w:color w:val="000000"/>
          <w:sz w:val="21"/>
        </w:rPr>
        <w:t>Table of Authorities</w:t>
      </w:r>
    </w:p>
    <w:p>
      <w:r>
        <w:br w:type="page"/>
      </w:r>
    </w:p>
    <w:p>
      <w:pPr>
        <w:spacing w:before="320" w:after="80"/>
        <w:jc w:val="left"/>
        <w:pBdr>
          <w:bottom w:val="single" w:sz="4" w:space="1" w:color="1a1a2e"/>
        </w:pBdr>
      </w:pPr>
      <w:r>
        <w:rPr>
          <w:rFonts w:ascii="Arial" w:hAnsi="Arial"/>
          <w:b/>
          <w:i w:val="0"/>
          <w:color w:val="1A1A2E"/>
          <w:sz w:val="24"/>
        </w:rPr>
        <w:t>I. STATEMENT OF THE DOCTRINE</w:t>
      </w:r>
    </w:p>
    <w:p>
      <w:pPr>
        <w:spacing w:before="0" w:after="120"/>
        <w:jc w:val="both"/>
      </w:pPr>
      <w:r>
        <w:rPr>
          <w:rFonts w:ascii="Arial" w:hAnsi="Arial"/>
          <w:b w:val="0"/>
          <w:i w:val="0"/>
          <w:color w:val="000000"/>
          <w:sz w:val="21"/>
        </w:rPr>
        <w:t>The Doctrine of Pre-Political Sovereign Being holds that every living human being possesses inherent, inviolable rights that precede, and exist independently of, any instrument of man-made governance. These rights are not granted by the State. They are not contingent upon a social contract to which the ancestors of the claimant never consented. They are not subject to commercial regulation, administrative redefinition, or jurisdictional capture by any agency that did not participate in the creation of the being it seeks to govern.</w:t>
      </w:r>
    </w:p>
    <w:p>
      <w:pPr>
        <w:spacing w:before="0" w:after="120"/>
        <w:jc w:val="both"/>
      </w:pPr>
      <w:r>
        <w:rPr>
          <w:rFonts w:ascii="Arial" w:hAnsi="Arial"/>
          <w:b w:val="0"/>
          <w:i w:val="0"/>
          <w:color w:val="000000"/>
          <w:sz w:val="21"/>
        </w:rPr>
        <w:t>The doctrine operates on a simple, internally consistent premise: the system of law governing the United States acknowledges, in its own foundational texts, that rights derive from a Creator and not from the State. The Declaration of Independence states that all men are endowed by their Creator with certain unalienable rights. Every judicial oath in the United States references God, truth, or a higher moral authority. These acknowledgments are not decorative. They are admissions that a higher law exists and that Man's Law derives its legitimacy from that higher law, not the other way around.</w:t>
      </w:r>
    </w:p>
    <w:p>
      <w:pPr>
        <w:spacing w:before="0" w:after="120"/>
        <w:jc w:val="both"/>
      </w:pPr>
      <w:r>
        <w:rPr>
          <w:rFonts w:ascii="Arial" w:hAnsi="Arial"/>
          <w:b w:val="0"/>
          <w:i w:val="0"/>
          <w:color w:val="000000"/>
          <w:sz w:val="21"/>
        </w:rPr>
        <w:t>Where Man's Law honors its own stated higher authority, this doctrine works within it. Where Man's Law violates, contradicts, or ignores that higher authority, this doctrine employs the system's own statutes, case law, constitutional provisions, and international commitments as instruments of defense. This methodology, legal jujutsu, uses the weight of the system against the overreach of the system.</w:t>
      </w:r>
    </w:p>
    <w:p>
      <w:pPr>
        <w:spacing w:before="320" w:after="80"/>
        <w:jc w:val="left"/>
        <w:pBdr>
          <w:bottom w:val="single" w:sz="4" w:space="1" w:color="1a1a2e"/>
        </w:pBdr>
      </w:pPr>
      <w:r>
        <w:rPr>
          <w:rFonts w:ascii="Arial" w:hAnsi="Arial"/>
          <w:b/>
          <w:i w:val="0"/>
          <w:color w:val="1A1A2E"/>
          <w:sz w:val="24"/>
        </w:rPr>
        <w:t>II. FOUNDATIONAL PREMISES</w:t>
      </w:r>
    </w:p>
    <w:p>
      <w:pPr>
        <w:spacing w:before="200" w:after="60"/>
        <w:jc w:val="left"/>
      </w:pPr>
      <w:r>
        <w:rPr>
          <w:rFonts w:ascii="Arial" w:hAnsi="Arial"/>
          <w:b/>
          <w:i w:val="0"/>
          <w:color w:val="222244"/>
          <w:sz w:val="22"/>
        </w:rPr>
        <w:t>A. The Pre-Political Existence of the Living Being</w:t>
      </w:r>
    </w:p>
    <w:p>
      <w:pPr>
        <w:spacing w:before="0" w:after="120"/>
        <w:jc w:val="both"/>
      </w:pPr>
      <w:r>
        <w:rPr>
          <w:rFonts w:ascii="Arial" w:hAnsi="Arial"/>
          <w:b w:val="0"/>
          <w:i w:val="0"/>
          <w:color w:val="000000"/>
          <w:sz w:val="21"/>
        </w:rPr>
        <w:t>The living being exists prior to the State. This is not a radical proposition. It is the explicit foundation of American natural law theory. John Locke, whose Second Treatise on Government directly shaped the Declaration of Independence and the Constitution, held that individuals exist in a state of nature with full natural rights before any government is formed. Government is created by consent of the governed to protect those pre-existing rights and not to create, redefine, or extinguish them. The Supreme Court recognized this in Boddie v. Connecticut, 401 U.S. 371 (1971), holding that due process protects fundamental interests that exist prior to state action. In Griswold v. Connecticut, 381 U.S. 479 (1965), the Court acknowledged rights not enumerated in the Constitution but inhering in the nature of free persons.</w:t>
      </w:r>
    </w:p>
    <w:p>
      <w:pPr>
        <w:spacing w:before="200" w:after="60"/>
        <w:jc w:val="left"/>
      </w:pPr>
      <w:r>
        <w:rPr>
          <w:rFonts w:ascii="Arial" w:hAnsi="Arial"/>
          <w:b/>
          <w:i w:val="0"/>
          <w:color w:val="222244"/>
          <w:sz w:val="22"/>
        </w:rPr>
        <w:t>B. The Living Being Is Not the Legal Person</w:t>
      </w:r>
    </w:p>
    <w:p>
      <w:pPr>
        <w:spacing w:before="0" w:after="120"/>
        <w:jc w:val="both"/>
      </w:pPr>
      <w:r>
        <w:rPr>
          <w:rFonts w:ascii="Arial" w:hAnsi="Arial"/>
          <w:b w:val="0"/>
          <w:i w:val="0"/>
          <w:color w:val="000000"/>
          <w:sz w:val="21"/>
        </w:rPr>
        <w:t>Man-Made Law operates on legal constructs called persons, which are fictions created and defined by the State for administrative purposes. Black's Law Dictionary distinguishes between a natural person, the living human being, and a legal person, an entity recognized by law. The State's jurisdiction properly extends to the legal person and to the conduct of natural persons within the community. It does not extend to the ontological nature of the being itself, its spiritual essence, its ancestral identity, or its inherent connection to the Earth and its Creator. What this doctrine asserts is not that the natural person is exempt from all law, but that the State has systematically overreached by treating the living being of African and indigenous descent as a legal fiction to be managed, taxed, policed, and imprisoned without ever honoring the rights of the natural person those instruments were designed to protect.</w:t>
      </w:r>
    </w:p>
    <w:p>
      <w:pPr>
        <w:spacing w:before="200" w:after="60"/>
        <w:jc w:val="left"/>
      </w:pPr>
      <w:r>
        <w:rPr>
          <w:rFonts w:ascii="Arial" w:hAnsi="Arial"/>
          <w:b/>
          <w:i w:val="0"/>
          <w:color w:val="222244"/>
          <w:sz w:val="22"/>
        </w:rPr>
        <w:t>C. Sincerity and Scientific Grounding of the Spiritual Framework</w:t>
      </w:r>
    </w:p>
    <w:p>
      <w:pPr>
        <w:spacing w:before="0" w:after="120"/>
        <w:jc w:val="both"/>
      </w:pPr>
      <w:r>
        <w:rPr>
          <w:rFonts w:ascii="Arial" w:hAnsi="Arial"/>
          <w:b w:val="0"/>
          <w:i w:val="0"/>
          <w:color w:val="000000"/>
          <w:sz w:val="21"/>
        </w:rPr>
        <w:t>The spiritual and cosmological framework underlying this doctrine is both a sincerely held religious belief and a scientifically grounded proposition. The Schumann Resonance at approximately 7.83 Hz is a measurable electromagnetic phenomenon of the Earth's cavity. Human bioelectricity and piezoelectricity in biological tissues are established scientific fields. DNA as a biological information system is settled science. In United States v. Seeger, 380 U.S. 163 (1965), the Supreme Court held that sincere religious belief need not be theistic in the conventional sense. It must occupy in the life of its possessor a place parallel to that filled by orthodox belief. In Frazee v. Illinois Department of Employment Security, 489 U.S. 829 (1989), the Court extended protection to beliefs not affiliated with any organized denomination. The cosmological and spiritual framework of this doctrine qualifies for full First Amendment and RFRA protection.</w:t>
      </w:r>
    </w:p>
    <w:p>
      <w:pPr>
        <w:spacing w:before="320" w:after="80"/>
        <w:jc w:val="left"/>
        <w:pBdr>
          <w:bottom w:val="single" w:sz="4" w:space="1" w:color="1a1a2e"/>
        </w:pBdr>
      </w:pPr>
      <w:r>
        <w:rPr>
          <w:rFonts w:ascii="Arial" w:hAnsi="Arial"/>
          <w:b/>
          <w:i w:val="0"/>
          <w:color w:val="1A1A2E"/>
          <w:sz w:val="24"/>
        </w:rPr>
        <w:t>III. THE TWO-LAWS FRAMEWORK</w:t>
      </w:r>
    </w:p>
    <w:p>
      <w:pPr>
        <w:spacing w:before="200" w:after="60"/>
        <w:jc w:val="left"/>
      </w:pPr>
      <w:r>
        <w:rPr>
          <w:rFonts w:ascii="Arial" w:hAnsi="Arial"/>
          <w:b/>
          <w:i w:val="0"/>
          <w:color w:val="222244"/>
          <w:sz w:val="22"/>
        </w:rPr>
        <w:t>A. Divine Law: The Immutable Source</w:t>
      </w:r>
    </w:p>
    <w:p>
      <w:pPr>
        <w:spacing w:before="0" w:after="120"/>
        <w:jc w:val="both"/>
      </w:pPr>
      <w:r>
        <w:rPr>
          <w:rFonts w:ascii="Arial" w:hAnsi="Arial"/>
          <w:b w:val="0"/>
          <w:i w:val="0"/>
          <w:color w:val="000000"/>
          <w:sz w:val="21"/>
        </w:rPr>
        <w:t>Divine Law is the universal, immutable principle that governs existence itself, the natural order from which all legitimate human law derives its moral authority. It is acknowledged in the Declaration of Independence in the phrase Laws of Nature and of Nature's God, in the natural law theory underlying the Constitution, and in the judicial oath that binds every officer of the court to truth and justice as principles higher than administrative convenience.</w:t>
      </w:r>
    </w:p>
    <w:p>
      <w:pPr>
        <w:spacing w:before="200" w:after="60"/>
        <w:jc w:val="left"/>
      </w:pPr>
      <w:r>
        <w:rPr>
          <w:rFonts w:ascii="Arial" w:hAnsi="Arial"/>
          <w:b/>
          <w:i w:val="0"/>
          <w:color w:val="222244"/>
          <w:sz w:val="22"/>
        </w:rPr>
        <w:t>B. Man's Law: The Derivative Instrument</w:t>
      </w:r>
    </w:p>
    <w:p>
      <w:pPr>
        <w:spacing w:before="0" w:after="120"/>
        <w:jc w:val="both"/>
      </w:pPr>
      <w:r>
        <w:rPr>
          <w:rFonts w:ascii="Arial" w:hAnsi="Arial"/>
          <w:b w:val="0"/>
          <w:i w:val="0"/>
          <w:color w:val="000000"/>
          <w:sz w:val="21"/>
        </w:rPr>
        <w:t>Man's Law is the body of statutes, regulations, and judicial interpretations created by human institutions. It is legitimate insofar as it reflects and protects the rights established by Divine Law. Where it diverges and becomes an instrument of extraction, domination, or the erasure of pre-existing rights, it loses its claim to moral authority and its claim to legitimate jurisdiction over the living being. In Marbury v. Madison, 5 U.S. 137 (1803), Chief Justice Marshall established that any law repugnant to the Constitution is void. This doctrine extends that principle: any application of Man's Law repugnant to the natural rights acknowledged in the Constitution's own foundational philosophy is equally void as applied to the living being asserting those rights.</w:t>
      </w:r>
    </w:p>
    <w:p>
      <w:pPr>
        <w:spacing w:before="200" w:after="60"/>
        <w:jc w:val="left"/>
      </w:pPr>
      <w:r>
        <w:rPr>
          <w:rFonts w:ascii="Arial" w:hAnsi="Arial"/>
          <w:b/>
          <w:i w:val="0"/>
          <w:color w:val="222244"/>
          <w:sz w:val="22"/>
        </w:rPr>
        <w:t>C. Legal Jujutsu: The Methodology</w:t>
      </w:r>
    </w:p>
    <w:p>
      <w:pPr>
        <w:spacing w:before="0" w:after="120"/>
        <w:jc w:val="both"/>
      </w:pPr>
      <w:r>
        <w:rPr>
          <w:rFonts w:ascii="Arial" w:hAnsi="Arial"/>
          <w:b w:val="0"/>
          <w:i w:val="0"/>
          <w:color w:val="000000"/>
          <w:sz w:val="21"/>
        </w:rPr>
        <w:t>This doctrine does not advocate rejection of Man's Law. It advocates holding Man's Law accountable to its own stated principles, using the system's own statutes, case law, constitutional provisions, and international commitments as instruments of accountability. Where the system has written laws protecting religious freedom, those laws are invoked. Where the system has written laws prohibiting badges of slavery, those laws are invoked. Where the system has committed to international human rights instruments, those commitments are invoked. This is legal jujutsu, and it is the most powerful and legally defensible methodology available to the average person without institutional legal resources.</w:t>
      </w:r>
    </w:p>
    <w:p>
      <w:pPr>
        <w:spacing w:before="320" w:after="80"/>
        <w:jc w:val="left"/>
        <w:pBdr>
          <w:bottom w:val="single" w:sz="4" w:space="1" w:color="1a1a2e"/>
        </w:pBdr>
      </w:pPr>
      <w:r>
        <w:rPr>
          <w:rFonts w:ascii="Arial" w:hAnsi="Arial"/>
          <w:b/>
          <w:i w:val="0"/>
          <w:color w:val="1A1A2E"/>
          <w:sz w:val="24"/>
        </w:rPr>
        <w:t>IV. CONSTITUTIONAL PILLARS</w:t>
      </w:r>
    </w:p>
    <w:p>
      <w:pPr>
        <w:spacing w:before="200" w:after="60"/>
        <w:jc w:val="left"/>
      </w:pPr>
      <w:r>
        <w:rPr>
          <w:rFonts w:ascii="Arial" w:hAnsi="Arial"/>
          <w:b/>
          <w:i w:val="0"/>
          <w:color w:val="222244"/>
          <w:sz w:val="22"/>
        </w:rPr>
        <w:t>A. First Amendment: Freedom of Religion and Conscience</w:t>
      </w:r>
    </w:p>
    <w:p>
      <w:pPr>
        <w:spacing w:before="0" w:after="120"/>
        <w:jc w:val="both"/>
      </w:pPr>
      <w:r>
        <w:rPr>
          <w:rFonts w:ascii="Arial" w:hAnsi="Arial"/>
          <w:b w:val="0"/>
          <w:i w:val="0"/>
          <w:color w:val="000000"/>
          <w:sz w:val="21"/>
        </w:rPr>
        <w:t>The First Amendment prohibits Congress from making any law respecting an establishment of religion or prohibiting the free exercise thereof. Church of Lukumi Babalu Aye v. City of Hialeah, 508 U.S. 520 (1993), affirmed that laws targeting specific religious practices are subject to strict scrutiny and must serve a compelling governmental interest by the least restrictive means. Any government action that treats the claimant's spiritual being as a commercial unit without acknowledging its sacred nature implicates this Amendment.</w:t>
      </w:r>
    </w:p>
    <w:p>
      <w:pPr>
        <w:spacing w:before="200" w:after="60"/>
        <w:jc w:val="left"/>
      </w:pPr>
      <w:r>
        <w:rPr>
          <w:rFonts w:ascii="Arial" w:hAnsi="Arial"/>
          <w:b/>
          <w:i w:val="0"/>
          <w:color w:val="222244"/>
          <w:sz w:val="22"/>
        </w:rPr>
        <w:t>B. Fourth Amendment: Security of the Person</w:t>
      </w:r>
    </w:p>
    <w:p>
      <w:pPr>
        <w:spacing w:before="0" w:after="120"/>
        <w:jc w:val="both"/>
      </w:pPr>
      <w:r>
        <w:rPr>
          <w:rFonts w:ascii="Arial" w:hAnsi="Arial"/>
          <w:b w:val="0"/>
          <w:i w:val="0"/>
          <w:color w:val="000000"/>
          <w:sz w:val="21"/>
        </w:rPr>
        <w:t>The Fourth Amendment guarantees the right of the people to be secure in their persons against unreasonable searches and seizures. Terry v. Ohio, 392 U.S. 1 (1968), requires reasonable articulable suspicion specific to the individual and not suspicion based on race or demographic profile. Florida v. Bostick, 501 U.S. 429 (1991), established that a person not free to leave is seized within the meaning of the Fourth Amendment. Any detention not supported by individualized, articulable, race-neutral suspicion violates this pillar.</w:t>
      </w:r>
    </w:p>
    <w:p>
      <w:pPr>
        <w:spacing w:before="200" w:after="60"/>
        <w:jc w:val="left"/>
      </w:pPr>
      <w:r>
        <w:rPr>
          <w:rFonts w:ascii="Arial" w:hAnsi="Arial"/>
          <w:b/>
          <w:i w:val="0"/>
          <w:color w:val="222244"/>
          <w:sz w:val="22"/>
        </w:rPr>
        <w:t>C. Fifth Amendment: Due Process</w:t>
      </w:r>
    </w:p>
    <w:p>
      <w:pPr>
        <w:spacing w:before="0" w:after="120"/>
        <w:jc w:val="both"/>
      </w:pPr>
      <w:r>
        <w:rPr>
          <w:rFonts w:ascii="Arial" w:hAnsi="Arial"/>
          <w:b w:val="0"/>
          <w:i w:val="0"/>
          <w:color w:val="000000"/>
          <w:sz w:val="21"/>
        </w:rPr>
        <w:t>The Fifth Amendment protects the living being from deprivation of life, liberty, or property without due process of law. Mathews v. Eldridge, 424 U.S. 319 (1976), established the balancing test for procedural due process, weighing private interest, risk of erroneous deprivation, and governmental interest. Where the private interest is the spiritual being itself, its dignity, ancestral identity, and sovereignty, that interest is among the highest cognizable by any court.</w:t>
      </w:r>
    </w:p>
    <w:p>
      <w:pPr>
        <w:spacing w:before="200" w:after="60"/>
        <w:jc w:val="left"/>
      </w:pPr>
      <w:r>
        <w:rPr>
          <w:rFonts w:ascii="Arial" w:hAnsi="Arial"/>
          <w:b/>
          <w:i w:val="0"/>
          <w:color w:val="222244"/>
          <w:sz w:val="22"/>
        </w:rPr>
        <w:t>D. Thirteenth Amendment: Badges and Incidents of Slavery</w:t>
      </w:r>
    </w:p>
    <w:p>
      <w:pPr>
        <w:spacing w:before="0" w:after="120"/>
        <w:jc w:val="both"/>
      </w:pPr>
      <w:r>
        <w:rPr>
          <w:rFonts w:ascii="Arial" w:hAnsi="Arial"/>
          <w:b w:val="0"/>
          <w:i w:val="0"/>
          <w:color w:val="000000"/>
          <w:sz w:val="21"/>
        </w:rPr>
        <w:t>The Thirteenth Amendment abolished slavery and granted Congress power to enforce it by appropriate legislation. Jones v. Alfred H. Mayer Co., 392 U.S. 409 (1968), held that Congress has the power to determine what are the badges and incidents of slavery and to translate that determination into effective legislation, extending the Amendment beyond formal chattel slavery to its lingering effects in American society and law.</w:t>
      </w:r>
    </w:p>
    <w:p>
      <w:pPr>
        <w:spacing w:before="200" w:after="60"/>
        <w:jc w:val="left"/>
      </w:pPr>
      <w:r>
        <w:rPr>
          <w:rFonts w:ascii="Arial" w:hAnsi="Arial"/>
          <w:b/>
          <w:i w:val="0"/>
          <w:color w:val="222244"/>
          <w:sz w:val="22"/>
        </w:rPr>
        <w:t>E. Fourteenth Amendment: Equal Protection</w:t>
      </w:r>
    </w:p>
    <w:p>
      <w:pPr>
        <w:spacing w:before="0" w:after="120"/>
        <w:jc w:val="both"/>
      </w:pPr>
      <w:r>
        <w:rPr>
          <w:rFonts w:ascii="Arial" w:hAnsi="Arial"/>
          <w:b w:val="0"/>
          <w:i w:val="0"/>
          <w:color w:val="000000"/>
          <w:sz w:val="21"/>
        </w:rPr>
        <w:t>The Fourteenth Amendment guarantees equal protection of the laws to all persons. Washington v. Davis, 426 U.S. 229 (1976), held that facially neutral laws with racially disparate impact may constitute equal protection violations when discriminatory purpose is shown. The documented pattern of racially disparate enforcement in policing, prosecution, and sentencing constitutes the evidentiary foundation for this claim.</w:t>
      </w:r>
    </w:p>
    <w:p>
      <w:pPr>
        <w:spacing w:before="200" w:after="60"/>
        <w:jc w:val="left"/>
      </w:pPr>
      <w:r>
        <w:rPr>
          <w:rFonts w:ascii="Arial" w:hAnsi="Arial"/>
          <w:b/>
          <w:i w:val="0"/>
          <w:color w:val="222244"/>
          <w:sz w:val="22"/>
        </w:rPr>
        <w:t>F. Georgia Constitutional Provisions</w:t>
      </w:r>
    </w:p>
    <w:p>
      <w:pPr>
        <w:spacing w:before="0" w:after="120"/>
        <w:jc w:val="both"/>
      </w:pPr>
      <w:r>
        <w:rPr>
          <w:rFonts w:ascii="Arial" w:hAnsi="Arial"/>
          <w:b w:val="0"/>
          <w:i w:val="0"/>
          <w:color w:val="000000"/>
          <w:sz w:val="21"/>
        </w:rPr>
        <w:t>The Georgia Constitution, Article I, Section I, Paragraph I guarantees no deprivation of life, liberty, or property except by due process. Paragraph II protects against unreasonable searches and seizures. Paragraph IV protects freedom of religion and provides that no inhabitant shall be molested in person or property on account of religious opinions. These provisions apply independently of and in addition to federal constitutional protections, providing a second layer of defense in any Georgia state forum.</w:t>
      </w:r>
    </w:p>
    <w:p>
      <w:pPr>
        <w:spacing w:before="320" w:after="80"/>
        <w:jc w:val="left"/>
        <w:pBdr>
          <w:bottom w:val="single" w:sz="4" w:space="1" w:color="1a1a2e"/>
        </w:pBdr>
      </w:pPr>
      <w:r>
        <w:rPr>
          <w:rFonts w:ascii="Arial" w:hAnsi="Arial"/>
          <w:b/>
          <w:i w:val="0"/>
          <w:color w:val="1A1A2E"/>
          <w:sz w:val="24"/>
        </w:rPr>
        <w:t>V. THE RFRA ARGUMENT: SPIRITUAL EXISTENCE AS PROTECTED BELIEF</w:t>
      </w:r>
    </w:p>
    <w:p>
      <w:pPr>
        <w:spacing w:before="0" w:after="120"/>
        <w:jc w:val="both"/>
      </w:pPr>
      <w:r>
        <w:rPr>
          <w:rFonts w:ascii="Arial" w:hAnsi="Arial"/>
          <w:b w:val="0"/>
          <w:i w:val="0"/>
          <w:color w:val="000000"/>
          <w:sz w:val="21"/>
        </w:rPr>
        <w:t>The Religious Freedom Restoration Act of 1993, 42 U.S.C. section 2000bb et seq., prohibits the federal government from substantially burdening a person's exercise of religion even by a rule of general applicability unless the government demonstrates a compelling governmental interest pursued by the least restrictive means. The Georgia Religious Freedom Restoration Act, O.C.G.A. section 50-3-1 et seq., imposes the same standard on the Georgia state government and its agencies.</w:t>
      </w:r>
    </w:p>
    <w:p>
      <w:pPr>
        <w:spacing w:before="200" w:after="60"/>
        <w:jc w:val="left"/>
      </w:pPr>
      <w:r>
        <w:rPr>
          <w:rFonts w:ascii="Arial" w:hAnsi="Arial"/>
          <w:b/>
          <w:i w:val="0"/>
          <w:color w:val="222244"/>
          <w:sz w:val="22"/>
        </w:rPr>
        <w:t>A. Sincerity of Belief</w:t>
      </w:r>
    </w:p>
    <w:p>
      <w:pPr>
        <w:spacing w:before="0" w:after="120"/>
        <w:jc w:val="both"/>
      </w:pPr>
      <w:r>
        <w:rPr>
          <w:rFonts w:ascii="Arial" w:hAnsi="Arial"/>
          <w:b w:val="0"/>
          <w:i w:val="0"/>
          <w:color w:val="000000"/>
          <w:sz w:val="21"/>
        </w:rPr>
        <w:t>The spiritual framework of this doctrine is sincerely held and documented across seven volumes of theological, philosophical, and scientific scholarship. Courts do not evaluate the objective truth of religious belief, only its sincerity. Thomas v. Review Board, 450 U.S. 707 (1981). The sincerity of this belief is established by the depth, consistency, and documentary record of the claimant's spiritual practice spanning multiple years of continuous development, including the Unified Bio-Cosmic Generator Model, the Sacred Geometry framework, and the seven volumes of The Sovereign Self: Reclaiming Divine Intent in Law and Governance.</w:t>
      </w:r>
    </w:p>
    <w:p>
      <w:pPr>
        <w:spacing w:before="200" w:after="60"/>
        <w:jc w:val="left"/>
      </w:pPr>
      <w:r>
        <w:rPr>
          <w:rFonts w:ascii="Arial" w:hAnsi="Arial"/>
          <w:b/>
          <w:i w:val="0"/>
          <w:color w:val="222244"/>
          <w:sz w:val="22"/>
        </w:rPr>
        <w:t>B. Substantial Burden</w:t>
      </w:r>
    </w:p>
    <w:p>
      <w:pPr>
        <w:spacing w:before="0" w:after="120"/>
        <w:jc w:val="both"/>
      </w:pPr>
      <w:r>
        <w:rPr>
          <w:rFonts w:ascii="Arial" w:hAnsi="Arial"/>
          <w:b w:val="0"/>
          <w:i w:val="0"/>
          <w:color w:val="000000"/>
          <w:sz w:val="21"/>
        </w:rPr>
        <w:t>Any government action that treats the living being as a commercial unit, a taxable entity, a manageable liability, or a source of extractable labor, without acknowledging the sacred nature of that being as defined by the claimant's sincerely held belief, constitutes a substantial burden on the exercise of that religion. Burwell v. Hobby Lobby Stores, Inc., 573 U.S. 682 (2014), confirmed that RFRA's protections extend broadly and that the government bears the burden of demonstrating compelling interest and least restrictive means once substantial burden is shown.</w:t>
      </w:r>
    </w:p>
    <w:p>
      <w:pPr>
        <w:spacing w:before="200" w:after="60"/>
        <w:jc w:val="left"/>
      </w:pPr>
      <w:r>
        <w:rPr>
          <w:rFonts w:ascii="Arial" w:hAnsi="Arial"/>
          <w:b/>
          <w:i w:val="0"/>
          <w:color w:val="222244"/>
          <w:sz w:val="22"/>
        </w:rPr>
        <w:t>C. The Government's Burden: Compelling Interest and Least Restrictive Means</w:t>
      </w:r>
    </w:p>
    <w:p>
      <w:pPr>
        <w:spacing w:before="0" w:after="120"/>
        <w:jc w:val="both"/>
      </w:pPr>
      <w:r>
        <w:rPr>
          <w:rFonts w:ascii="Arial" w:hAnsi="Arial"/>
          <w:b w:val="0"/>
          <w:i w:val="0"/>
          <w:color w:val="000000"/>
          <w:sz w:val="21"/>
        </w:rPr>
        <w:t>Once substantial burden on sincere religious belief is established, the government must produce specific evidence of compelling interest pursued by least restrictive means. Gonzales v. O Centro Espirita Beneficente Uniao do Vegetal, 546 U.S. 418 (2006), held that RFRA requires the government to demonstrate compelling interest in the specific case and not merely in the abstract. Where the government cannot demonstrate that treating the living being's spiritual existence as a commercial unit is the least restrictive means of achieving any compelling interest, the RFRA claim succeeds.</w:t>
      </w:r>
    </w:p>
    <w:p>
      <w:pPr>
        <w:spacing w:before="320" w:after="80"/>
        <w:jc w:val="left"/>
        <w:pBdr>
          <w:bottom w:val="single" w:sz="4" w:space="1" w:color="1a1a2e"/>
        </w:pBdr>
      </w:pPr>
      <w:r>
        <w:rPr>
          <w:rFonts w:ascii="Arial" w:hAnsi="Arial"/>
          <w:b/>
          <w:i w:val="0"/>
          <w:color w:val="1A1A2E"/>
          <w:sz w:val="24"/>
        </w:rPr>
        <w:t>VI. THE SOCIAL CONTRACT GAP: LEGITIMACY AND CONSENT</w:t>
      </w:r>
    </w:p>
    <w:p>
      <w:pPr>
        <w:spacing w:before="0" w:after="120"/>
        <w:jc w:val="both"/>
      </w:pPr>
      <w:r>
        <w:rPr>
          <w:rFonts w:ascii="Arial" w:hAnsi="Arial"/>
          <w:b w:val="0"/>
          <w:i w:val="0"/>
          <w:color w:val="000000"/>
          <w:sz w:val="21"/>
        </w:rPr>
        <w:t>The social contract theory underlying American constitutional governance holds that legitimate government derives its just powers from the consent of the governed, as stated in the Declaration of Independence of 1776. This premise has never been honestly applied to the descendants of enslaved Africans or to indigenous peoples whose lands were seized by force.</w:t>
      </w:r>
    </w:p>
    <w:p>
      <w:pPr>
        <w:spacing w:before="200" w:after="60"/>
        <w:jc w:val="left"/>
      </w:pPr>
      <w:r>
        <w:rPr>
          <w:rFonts w:ascii="Arial" w:hAnsi="Arial"/>
          <w:b/>
          <w:i w:val="0"/>
          <w:color w:val="222244"/>
          <w:sz w:val="22"/>
        </w:rPr>
        <w:t>A. The Contract of Exclusion</w:t>
      </w:r>
    </w:p>
    <w:p>
      <w:pPr>
        <w:spacing w:before="0" w:after="120"/>
        <w:jc w:val="both"/>
      </w:pPr>
      <w:r>
        <w:rPr>
          <w:rFonts w:ascii="Arial" w:hAnsi="Arial"/>
          <w:b w:val="0"/>
          <w:i w:val="0"/>
          <w:color w:val="000000"/>
          <w:sz w:val="21"/>
        </w:rPr>
        <w:t>The Constitution of 1787 was drafted by and for a narrow class of propertied white men representing approximately 6% of the 1790 population. Enslaved Africans were counted as three-fifths of a person for purposes of apportionment and not for purposes of rights. Women were excluded. Indigenous peoples were excluded. No consent was obtained from any of these groups. A contract signed by one party and imposed upon another is not a contract. It is a declaration of power. For the descendants of those excluded at the founding, the social contract argument must be approached with honesty about this historical reality.</w:t>
      </w:r>
    </w:p>
    <w:p>
      <w:pPr>
        <w:spacing w:before="200" w:after="60"/>
        <w:jc w:val="left"/>
      </w:pPr>
      <w:r>
        <w:rPr>
          <w:rFonts w:ascii="Arial" w:hAnsi="Arial"/>
          <w:b/>
          <w:i w:val="0"/>
          <w:color w:val="222244"/>
          <w:sz w:val="22"/>
        </w:rPr>
        <w:t>B. The Legal Consequence of Non-Consent</w:t>
      </w:r>
    </w:p>
    <w:p>
      <w:pPr>
        <w:spacing w:before="0" w:after="120"/>
        <w:jc w:val="both"/>
      </w:pPr>
      <w:r>
        <w:rPr>
          <w:rFonts w:ascii="Arial" w:hAnsi="Arial"/>
          <w:b w:val="0"/>
          <w:i w:val="0"/>
          <w:color w:val="000000"/>
          <w:sz w:val="21"/>
        </w:rPr>
        <w:t>This doctrine does not argue that the Constitution has no force. It argues that where the Constitution is invoked against a living being of African or indigenous descent, that being has standing to demand that the Constitution be applied as it claims to operate: equally, fully, and without the historical asterisks that have limited its protections. The Fourteenth Amendment, ratified in 1868, was the first constitutional instrument to explicitly extend citizenship and equal protection to formerly enslaved persons. Its promise has never been fully honored. This doctrine demands that honor, using the Amendment's own text as the instrument of demand.</w:t>
      </w:r>
    </w:p>
    <w:p>
      <w:pPr>
        <w:spacing w:before="200" w:after="60"/>
        <w:jc w:val="left"/>
      </w:pPr>
      <w:r>
        <w:rPr>
          <w:rFonts w:ascii="Arial" w:hAnsi="Arial"/>
          <w:b/>
          <w:i w:val="0"/>
          <w:color w:val="222244"/>
          <w:sz w:val="22"/>
        </w:rPr>
        <w:t>C. The Legitimacy Challenge as Legal Strategy</w:t>
      </w:r>
    </w:p>
    <w:p>
      <w:pPr>
        <w:spacing w:before="0" w:after="120"/>
        <w:jc w:val="both"/>
      </w:pPr>
      <w:r>
        <w:rPr>
          <w:rFonts w:ascii="Arial" w:hAnsi="Arial"/>
          <w:b w:val="0"/>
          <w:i w:val="0"/>
          <w:color w:val="000000"/>
          <w:sz w:val="21"/>
        </w:rPr>
        <w:t>The legitimacy challenge is not a claim that courts have no jurisdiction. It is an evidentiary and argumentative strategy that places the historical record before any forum as context for why heightened scrutiny is warranted, why procedural shortcuts are impermissible, and why the government bears a heavier burden of justification when its actions fall upon a class of persons whose ancestors were systemically excluded from the protections the government claims to provide. In McCleskey v. Kemp, 481 U.S. 279 (1987), the Court acknowledged documented racial disparities in capital sentencing, and Justice Brennan's dissent laid the groundwork for the argument this doctrine advances.</w:t>
      </w:r>
    </w:p>
    <w:p>
      <w:pPr>
        <w:spacing w:before="320" w:after="80"/>
        <w:jc w:val="left"/>
        <w:pBdr>
          <w:bottom w:val="single" w:sz="4" w:space="1" w:color="1a1a2e"/>
        </w:pBdr>
      </w:pPr>
      <w:r>
        <w:rPr>
          <w:rFonts w:ascii="Arial" w:hAnsi="Arial"/>
          <w:b/>
          <w:i w:val="0"/>
          <w:color w:val="1A1A2E"/>
          <w:sz w:val="24"/>
        </w:rPr>
        <w:t>VII. THE BADGES AND INCIDENTS DOCTRINE: ECONOMIC SOVEREIGNTY</w:t>
      </w:r>
    </w:p>
    <w:p>
      <w:pPr>
        <w:spacing w:before="0" w:after="120"/>
        <w:jc w:val="both"/>
      </w:pPr>
      <w:r>
        <w:rPr>
          <w:rFonts w:ascii="Arial" w:hAnsi="Arial"/>
          <w:b w:val="0"/>
          <w:i w:val="0"/>
          <w:color w:val="000000"/>
          <w:sz w:val="21"/>
        </w:rPr>
        <w:t>The Thirteenth Amendment's Enforcement Clause grants Congress the power to eliminate not only formal slavery but all badges and incidents of slavery, the marks, vestiges, and ongoing effects of the institution upon those it victimized and their descendants.</w:t>
      </w:r>
    </w:p>
    <w:p>
      <w:pPr>
        <w:spacing w:before="200" w:after="60"/>
        <w:jc w:val="left"/>
      </w:pPr>
      <w:r>
        <w:rPr>
          <w:rFonts w:ascii="Arial" w:hAnsi="Arial"/>
          <w:b/>
          <w:i w:val="0"/>
          <w:color w:val="222244"/>
          <w:sz w:val="22"/>
        </w:rPr>
        <w:t>A. The Scope of the Doctrine</w:t>
      </w:r>
    </w:p>
    <w:p>
      <w:pPr>
        <w:spacing w:before="0" w:after="120"/>
        <w:jc w:val="both"/>
      </w:pPr>
      <w:r>
        <w:rPr>
          <w:rFonts w:ascii="Arial" w:hAnsi="Arial"/>
          <w:b w:val="0"/>
          <w:i w:val="0"/>
          <w:color w:val="000000"/>
          <w:sz w:val="21"/>
        </w:rPr>
        <w:t>In Jones v. Alfred H. Mayer Co., 392 U.S. 409 (1968), the Supreme Court held that 42 U.S.C. section 1982 bars all racial discrimination in the sale or rental of property, public or private, and that the Thirteenth Amendment empowers Congress to pass all laws necessary and proper for abolishing all badges and incidents of slavery. In General Building Contractors Association v. Pennsylvania, 458 U.S. 375 (1982), the Court confirmed that section 1981 prohibits racial discrimination in the making and enforcement of contracts.</w:t>
      </w:r>
    </w:p>
    <w:p>
      <w:pPr>
        <w:spacing w:before="200" w:after="60"/>
        <w:jc w:val="left"/>
      </w:pPr>
      <w:r>
        <w:rPr>
          <w:rFonts w:ascii="Arial" w:hAnsi="Arial"/>
          <w:b/>
          <w:i w:val="0"/>
          <w:color w:val="222244"/>
          <w:sz w:val="22"/>
        </w:rPr>
        <w:t>B. The Economic Badges Applied</w:t>
      </w:r>
    </w:p>
    <w:p>
      <w:pPr>
        <w:spacing w:before="0" w:after="120"/>
        <w:jc w:val="both"/>
      </w:pPr>
      <w:r>
        <w:rPr>
          <w:rFonts w:ascii="Arial" w:hAnsi="Arial"/>
          <w:b w:val="0"/>
          <w:i w:val="0"/>
          <w:color w:val="000000"/>
          <w:sz w:val="21"/>
        </w:rPr>
        <w:t>The following documented practices constitute badges and incidents of slavery within the meaning of the Thirteenth Amendment and the case law interpreting it:</w:t>
      </w:r>
    </w:p>
    <w:p>
      <w:pPr>
        <w:pStyle w:val="ListBullet"/>
        <w:spacing w:after="60"/>
        <w:ind w:left="576"/>
      </w:pPr>
      <w:r>
        <w:rPr>
          <w:rFonts w:ascii="Arial" w:hAnsi="Arial"/>
          <w:sz w:val="21"/>
        </w:rPr>
        <w:t>Redlining and systematic exclusion from homeownership wealth-building, documented by HOLC maps from the 1930s through the 1960s</w:t>
      </w:r>
    </w:p>
    <w:p>
      <w:pPr>
        <w:pStyle w:val="ListBullet"/>
        <w:spacing w:after="60"/>
        <w:ind w:left="576"/>
      </w:pPr>
      <w:r>
        <w:rPr>
          <w:rFonts w:ascii="Arial" w:hAnsi="Arial"/>
          <w:sz w:val="21"/>
        </w:rPr>
        <w:t>Convict leasing, the use of criminal conviction as a mechanism for extracting unpaid labor from Black Americans under the Thirteenth Amendment punishment clause</w:t>
      </w:r>
    </w:p>
    <w:p>
      <w:pPr>
        <w:pStyle w:val="ListBullet"/>
        <w:spacing w:after="60"/>
        <w:ind w:left="576"/>
      </w:pPr>
      <w:r>
        <w:rPr>
          <w:rFonts w:ascii="Arial" w:hAnsi="Arial"/>
          <w:sz w:val="21"/>
        </w:rPr>
        <w:t>Predatory lending targeting Black homeowners and borrowers in documented patterns of racial steering</w:t>
      </w:r>
    </w:p>
    <w:p>
      <w:pPr>
        <w:pStyle w:val="ListBullet"/>
        <w:spacing w:after="60"/>
        <w:ind w:left="576"/>
      </w:pPr>
      <w:r>
        <w:rPr>
          <w:rFonts w:ascii="Arial" w:hAnsi="Arial"/>
          <w:sz w:val="21"/>
        </w:rPr>
        <w:t>Systematic exclusion from GI Bill benefits that built the white middle class from 1944 through the 1960s</w:t>
      </w:r>
    </w:p>
    <w:p>
      <w:pPr>
        <w:pStyle w:val="ListBullet"/>
        <w:spacing w:after="60"/>
        <w:ind w:left="576"/>
      </w:pPr>
      <w:r>
        <w:rPr>
          <w:rFonts w:ascii="Arial" w:hAnsi="Arial"/>
          <w:sz w:val="21"/>
        </w:rPr>
        <w:t>Ongoing racially disparate prosecution and incarceration that functions as economic extraction through the prison labor system</w:t>
      </w:r>
    </w:p>
    <w:p>
      <w:pPr>
        <w:spacing w:before="200" w:after="60"/>
        <w:jc w:val="left"/>
      </w:pPr>
      <w:r>
        <w:rPr>
          <w:rFonts w:ascii="Arial" w:hAnsi="Arial"/>
          <w:b/>
          <w:i w:val="0"/>
          <w:color w:val="222244"/>
          <w:sz w:val="22"/>
        </w:rPr>
        <w:t>C. The Remedy Framework</w:t>
      </w:r>
    </w:p>
    <w:p>
      <w:pPr>
        <w:spacing w:before="0" w:after="120"/>
        <w:jc w:val="both"/>
      </w:pPr>
      <w:r>
        <w:rPr>
          <w:rFonts w:ascii="Arial" w:hAnsi="Arial"/>
          <w:b w:val="0"/>
          <w:i w:val="0"/>
          <w:color w:val="000000"/>
          <w:sz w:val="21"/>
        </w:rPr>
        <w:t>42 U.S.C. section 1981 provides a cause of action for racial discrimination in the making and enforcement of contracts. 42 U.S.C. section 1982 provides a cause of action for racial discrimination in property rights. 42 U.S.C. section 1983 provides a cause of action against any person acting under color of state law who deprives any person of rights secured by the Constitution or laws of the United States. These statutes, read together with the Thirteenth Amendment's badges and incidents doctrine, provide a legally operative framework for economic sovereignty claims that no court can dismiss as frivolous.</w:t>
      </w:r>
    </w:p>
    <w:p>
      <w:pPr>
        <w:spacing w:before="320" w:after="80"/>
        <w:jc w:val="left"/>
        <w:pBdr>
          <w:bottom w:val="single" w:sz="4" w:space="1" w:color="1a1a2e"/>
        </w:pBdr>
      </w:pPr>
      <w:r>
        <w:rPr>
          <w:rFonts w:ascii="Arial" w:hAnsi="Arial"/>
          <w:b/>
          <w:i w:val="0"/>
          <w:color w:val="1A1A2E"/>
          <w:sz w:val="24"/>
        </w:rPr>
        <w:t>VIII. PHYSICAL LIBERTY AND UNLAWFUL DETENTION</w:t>
      </w:r>
    </w:p>
    <w:p>
      <w:pPr>
        <w:spacing w:before="0" w:after="120"/>
        <w:jc w:val="both"/>
      </w:pPr>
      <w:r>
        <w:rPr>
          <w:rFonts w:ascii="Arial" w:hAnsi="Arial"/>
          <w:b w:val="0"/>
          <w:i w:val="0"/>
          <w:color w:val="000000"/>
          <w:sz w:val="21"/>
        </w:rPr>
        <w:t>The physical liberty of the living being is among the most fundamental rights protected by the Constitution. Any interference with that liberty by an agent of the state must satisfy strict constitutional requirements.</w:t>
      </w:r>
    </w:p>
    <w:p>
      <w:pPr>
        <w:spacing w:before="200" w:after="60"/>
        <w:jc w:val="left"/>
      </w:pPr>
      <w:r>
        <w:rPr>
          <w:rFonts w:ascii="Arial" w:hAnsi="Arial"/>
          <w:b/>
          <w:i w:val="0"/>
          <w:color w:val="222244"/>
          <w:sz w:val="22"/>
        </w:rPr>
        <w:t>A. The Constitutional Standard for Stops and Detention</w:t>
      </w:r>
    </w:p>
    <w:p>
      <w:pPr>
        <w:spacing w:before="0" w:after="120"/>
        <w:jc w:val="both"/>
      </w:pPr>
      <w:r>
        <w:rPr>
          <w:rFonts w:ascii="Arial" w:hAnsi="Arial"/>
          <w:b w:val="0"/>
          <w:i w:val="0"/>
          <w:color w:val="000000"/>
          <w:sz w:val="21"/>
        </w:rPr>
        <w:t>A police officer may conduct a brief investigative stop only when supported by reasonable articulable suspicion that the person has been, is, or is about to be engaged in criminal activity. Terry v. Ohio, 392 U.S. 1 (1968). That suspicion must be based on specific, articulable facts about the individual and not on race, neighborhood, or generalized profile. United States v. Sokolow, 490 U.S. 1 (1989). A person is seized within the meaning of the Fourth Amendment when their freedom of movement is restrained by physical force or a show of authority. Florida v. Bostick, 501 U.S. 429 (1991). An arrest requires probable cause, a substantially higher standard. Dunaway v. New York, 442 U.S. 200 (1979).</w:t>
      </w:r>
    </w:p>
    <w:p>
      <w:pPr>
        <w:spacing w:before="200" w:after="60"/>
        <w:jc w:val="left"/>
      </w:pPr>
      <w:r>
        <w:rPr>
          <w:rFonts w:ascii="Arial" w:hAnsi="Arial"/>
          <w:b/>
          <w:i w:val="0"/>
          <w:color w:val="222244"/>
          <w:sz w:val="22"/>
        </w:rPr>
        <w:t>B. Civil Rights Violations Under Color of Law</w:t>
      </w:r>
    </w:p>
    <w:p>
      <w:pPr>
        <w:spacing w:before="0" w:after="120"/>
        <w:jc w:val="both"/>
      </w:pPr>
      <w:r>
        <w:rPr>
          <w:rFonts w:ascii="Arial" w:hAnsi="Arial"/>
          <w:b w:val="0"/>
          <w:i w:val="0"/>
          <w:color w:val="000000"/>
          <w:sz w:val="21"/>
        </w:rPr>
        <w:t>18 U.S.C. section 241 makes it a federal crime for two or more persons to conspire to injure, oppress, threaten, or intimidate any person in the free exercise of any right secured by the Constitution or laws of the United States. 18 U.S.C. section 242 makes it a federal crime for any person acting under color of any law to willfully deprive any person of any rights, privileges, or immunities secured or protected by the Constitution or laws of the United States. 42 U.S.C. section 1983 provides the civil remedy for any person acting under color of state law who violates these rights.</w:t>
      </w:r>
    </w:p>
    <w:p>
      <w:pPr>
        <w:spacing w:before="200" w:after="60"/>
        <w:jc w:val="left"/>
      </w:pPr>
      <w:r>
        <w:rPr>
          <w:rFonts w:ascii="Arial" w:hAnsi="Arial"/>
          <w:b/>
          <w:i w:val="0"/>
          <w:color w:val="222244"/>
          <w:sz w:val="22"/>
        </w:rPr>
        <w:t>C. Qualified Immunity and Its Limits</w:t>
      </w:r>
    </w:p>
    <w:p>
      <w:pPr>
        <w:spacing w:before="0" w:after="120"/>
        <w:jc w:val="both"/>
      </w:pPr>
      <w:r>
        <w:rPr>
          <w:rFonts w:ascii="Arial" w:hAnsi="Arial"/>
          <w:b w:val="0"/>
          <w:i w:val="0"/>
          <w:color w:val="000000"/>
          <w:sz w:val="21"/>
        </w:rPr>
        <w:t>The doctrine of qualified immunity shields government officials from civil liability unless their conduct violates clearly established statutory or constitutional rights of which a reasonable person would have known. Harlow v. Fitzgerald, 457 U.S. 800 (1982). Where constitutional rights are clearly established, as they are in the context of racially motivated stops, excessive force, and unlawful detention, qualified immunity does not apply. Pearson v. Callahan, 555 U.S. 223 (2009). This doctrine relies on section 1983 against state actors for civil remedy, which remains fully available.</w:t>
      </w:r>
    </w:p>
    <w:p>
      <w:pPr>
        <w:spacing w:before="320" w:after="80"/>
        <w:jc w:val="left"/>
        <w:pBdr>
          <w:bottom w:val="single" w:sz="4" w:space="1" w:color="1a1a2e"/>
        </w:pBdr>
      </w:pPr>
      <w:r>
        <w:rPr>
          <w:rFonts w:ascii="Arial" w:hAnsi="Arial"/>
          <w:b/>
          <w:i w:val="0"/>
          <w:color w:val="1A1A2E"/>
          <w:sz w:val="24"/>
        </w:rPr>
        <w:t>IX. ANCESTRAL LAND AND INDIGENOUS RIGHTS</w:t>
      </w:r>
    </w:p>
    <w:p>
      <w:pPr>
        <w:spacing w:before="0" w:after="120"/>
        <w:jc w:val="both"/>
      </w:pPr>
      <w:r>
        <w:rPr>
          <w:rFonts w:ascii="Arial" w:hAnsi="Arial"/>
          <w:b w:val="0"/>
          <w:i w:val="0"/>
          <w:color w:val="000000"/>
          <w:sz w:val="21"/>
        </w:rPr>
        <w:t>The ancestral connection of African and indigenous peoples to the land of North America, a connection that is spiritual, biological, and historical, was severed by force and has never been legally remedied.</w:t>
      </w:r>
    </w:p>
    <w:p>
      <w:pPr>
        <w:spacing w:before="200" w:after="60"/>
        <w:jc w:val="left"/>
      </w:pPr>
      <w:r>
        <w:rPr>
          <w:rFonts w:ascii="Arial" w:hAnsi="Arial"/>
          <w:b/>
          <w:i w:val="0"/>
          <w:color w:val="222244"/>
          <w:sz w:val="22"/>
        </w:rPr>
        <w:t>A. The Domestic Framework</w:t>
      </w:r>
    </w:p>
    <w:p>
      <w:pPr>
        <w:spacing w:before="0" w:after="120"/>
        <w:jc w:val="both"/>
      </w:pPr>
      <w:r>
        <w:rPr>
          <w:rFonts w:ascii="Arial" w:hAnsi="Arial"/>
          <w:b w:val="0"/>
          <w:i w:val="0"/>
          <w:color w:val="000000"/>
          <w:sz w:val="21"/>
        </w:rPr>
        <w:t>In Worcester v. Georgia, 31 U.S. 515 (1832), Chief Justice Marshall recognized the distinct political status of pre-existing sovereign entities, establishing the principle that peoples with a prior claim to the land possess rights the State cannot simply extinguish. The Public Trust Doctrine, recognized in Illinois Central Railroad v. Illinois, 146 U.S. 387 (1892), establishes that certain resources are held in trust for the people and cannot be permanently alienated, a principle that supports the argument that ancestral lands cannot be permanently and legitimately stripped from their original peoples.</w:t>
      </w:r>
    </w:p>
    <w:p>
      <w:pPr>
        <w:spacing w:before="200" w:after="60"/>
        <w:jc w:val="left"/>
      </w:pPr>
      <w:r>
        <w:rPr>
          <w:rFonts w:ascii="Arial" w:hAnsi="Arial"/>
          <w:b/>
          <w:i w:val="0"/>
          <w:color w:val="222244"/>
          <w:sz w:val="22"/>
        </w:rPr>
        <w:t>B. The International Framework</w:t>
      </w:r>
    </w:p>
    <w:p>
      <w:pPr>
        <w:spacing w:before="0" w:after="120"/>
        <w:jc w:val="both"/>
      </w:pPr>
      <w:r>
        <w:rPr>
          <w:rFonts w:ascii="Arial" w:hAnsi="Arial"/>
          <w:b w:val="0"/>
          <w:i w:val="0"/>
          <w:color w:val="000000"/>
          <w:sz w:val="21"/>
        </w:rPr>
        <w:t>The United Nations Declaration on the Rights of Indigenous Peoples, endorsed by the United States in 2010, recognizes that indigenous peoples have the right to maintain and strengthen their distinctive spiritual relationship with their traditionally owned or used lands, territories, waters, and coastal seas. Article 25 of UNDRIP specifically protects this spiritual relationship. ILO Convention No. 169 protects indigenous peoples' rights to their lands and territories. These instruments are directly operative before international human rights bodies and inform constitutional interpretation in domestic courts.</w:t>
      </w:r>
    </w:p>
    <w:p>
      <w:pPr>
        <w:spacing w:before="200" w:after="60"/>
        <w:jc w:val="left"/>
      </w:pPr>
      <w:r>
        <w:rPr>
          <w:rFonts w:ascii="Arial" w:hAnsi="Arial"/>
          <w:b/>
          <w:i w:val="0"/>
          <w:color w:val="222244"/>
          <w:sz w:val="22"/>
        </w:rPr>
        <w:t>C. The Spiritual Land Relationship Under RFRA</w:t>
      </w:r>
    </w:p>
    <w:p>
      <w:pPr>
        <w:spacing w:before="0" w:after="120"/>
        <w:jc w:val="both"/>
      </w:pPr>
      <w:r>
        <w:rPr>
          <w:rFonts w:ascii="Arial" w:hAnsi="Arial"/>
          <w:b w:val="0"/>
          <w:i w:val="0"/>
          <w:color w:val="000000"/>
          <w:sz w:val="21"/>
        </w:rPr>
        <w:t>The understanding of the Earth as a living, electromagnetic, spiritually inhabited system, grounded in the Bio-Cosmic Generator framework, the Schumann Resonance, and African and indigenous cosmological traditions, constitutes a sincerely held religious framework of ancestral land relationship. Under RFRA, any government action that substantially burdens this relationship without compelling justification and least restrictive means is subject to challenge. Lyng v. Northwest Indian Cemetery Protective Association, 485 U.S. 439 (1988), while ruling against the plaintiffs on the merits, recognized the profound significance of sacred land relationships and established the legal framework within which such claims must be evaluated.</w:t>
      </w:r>
    </w:p>
    <w:p>
      <w:pPr>
        <w:spacing w:before="320" w:after="80"/>
        <w:jc w:val="left"/>
        <w:pBdr>
          <w:bottom w:val="single" w:sz="4" w:space="1" w:color="1a1a2e"/>
        </w:pBdr>
      </w:pPr>
      <w:r>
        <w:rPr>
          <w:rFonts w:ascii="Arial" w:hAnsi="Arial"/>
          <w:b/>
          <w:i w:val="0"/>
          <w:color w:val="1A1A2E"/>
          <w:sz w:val="24"/>
        </w:rPr>
        <w:t>X. SCIENTIFIC GROUNDING: THE BIO-COSMIC FRAMEWORK</w:t>
      </w:r>
    </w:p>
    <w:p>
      <w:pPr>
        <w:spacing w:before="0" w:after="120"/>
        <w:jc w:val="both"/>
      </w:pPr>
      <w:r>
        <w:rPr>
          <w:rFonts w:ascii="Arial" w:hAnsi="Arial"/>
          <w:b w:val="0"/>
          <w:i w:val="0"/>
          <w:color w:val="000000"/>
          <w:sz w:val="21"/>
        </w:rPr>
        <w:t>The spiritual framework underlying this doctrine is grounded in measurable, peer-reviewed scientific phenomena that establish the living being as a biological system in continuous electromagnetic relationship with the Earth itself. This scientific grounding serves two legal purposes: it establishes the sincerity and sophistication of the belief system, and it provides an empirical foundation for the claim that interference with the living being's natural state constitutes a cognizable harm beyond the merely administrative.</w:t>
      </w:r>
    </w:p>
    <w:p>
      <w:pPr>
        <w:spacing w:before="200" w:after="60"/>
        <w:jc w:val="left"/>
      </w:pPr>
      <w:r>
        <w:rPr>
          <w:rFonts w:ascii="Arial" w:hAnsi="Arial"/>
          <w:b/>
          <w:i w:val="0"/>
          <w:color w:val="222244"/>
          <w:sz w:val="22"/>
        </w:rPr>
        <w:t>A. The Schumann Resonance</w:t>
      </w:r>
    </w:p>
    <w:p>
      <w:pPr>
        <w:spacing w:before="0" w:after="120"/>
        <w:jc w:val="both"/>
      </w:pPr>
      <w:r>
        <w:rPr>
          <w:rFonts w:ascii="Arial" w:hAnsi="Arial"/>
          <w:b w:val="0"/>
          <w:i w:val="0"/>
          <w:color w:val="000000"/>
          <w:sz w:val="21"/>
        </w:rPr>
        <w:t>The Schumann Resonance is a set of spectrum peaks in the extremely low frequency portion of the Earth's electromagnetic field spectrum, with a fundamental frequency of approximately 7.83 Hz. First identified by physicist Winfried Otto Schumann in 1952 and confirmed by subsequent measurement, the Schumann Resonance is generated by lightning discharges in the cavity between the Earth's surface and the ionosphere. Research published in peer-reviewed journals has identified correlations between human brainwave frequencies and Schumann Resonance frequencies, establishing a measurable electromagnetic relationship between the human biological system and the Earth's own electromagnetic field.</w:t>
      </w:r>
    </w:p>
    <w:p>
      <w:pPr>
        <w:spacing w:before="200" w:after="60"/>
        <w:jc w:val="left"/>
      </w:pPr>
      <w:r>
        <w:rPr>
          <w:rFonts w:ascii="Arial" w:hAnsi="Arial"/>
          <w:b/>
          <w:i w:val="0"/>
          <w:color w:val="222244"/>
          <w:sz w:val="22"/>
        </w:rPr>
        <w:t>B. Piezoelectricity and the Human Biological System</w:t>
      </w:r>
    </w:p>
    <w:p>
      <w:pPr>
        <w:spacing w:before="0" w:after="120"/>
        <w:jc w:val="both"/>
      </w:pPr>
      <w:r>
        <w:rPr>
          <w:rFonts w:ascii="Arial" w:hAnsi="Arial"/>
          <w:b w:val="0"/>
          <w:i w:val="0"/>
          <w:color w:val="000000"/>
          <w:sz w:val="21"/>
        </w:rPr>
        <w:t>Piezoelectricity, the ability of certain materials to generate an electric charge in response to applied mechanical stress, is a well-documented property of biological tissues including bone, collagen, and DNA. Research by orthopedic surgeon Robert O. Becker, documented in The Body Electric (1985), established that the human body operates as a complex bioelectrical system capable of generating and responding to electromagnetic fields. This scientific foundation supports the framework of the living being as an energetic expression of a larger natural system.</w:t>
      </w:r>
    </w:p>
    <w:p>
      <w:pPr>
        <w:spacing w:before="200" w:after="60"/>
        <w:jc w:val="left"/>
      </w:pPr>
      <w:r>
        <w:rPr>
          <w:rFonts w:ascii="Arial" w:hAnsi="Arial"/>
          <w:b/>
          <w:i w:val="0"/>
          <w:color w:val="222244"/>
          <w:sz w:val="22"/>
        </w:rPr>
        <w:t>C. Legal Application of the Scientific Framework</w:t>
      </w:r>
    </w:p>
    <w:p>
      <w:pPr>
        <w:spacing w:before="0" w:after="120"/>
        <w:jc w:val="both"/>
      </w:pPr>
      <w:r>
        <w:rPr>
          <w:rFonts w:ascii="Arial" w:hAnsi="Arial"/>
          <w:b w:val="0"/>
          <w:i w:val="0"/>
          <w:color w:val="000000"/>
          <w:sz w:val="21"/>
        </w:rPr>
        <w:t>The scientific grounding of this doctrine provides a basis for arguing that interference with the living being's natural electromagnetic and biological integrity constitutes a measurable, demonstrable harm and not merely a spiritual grievance. This argument is relevant to claims involving forced biological interventions, electromagnetic surveillance, and environmental degradation of lands to which ancestral communities maintain documented biological and spiritual connection.</w:t>
      </w:r>
    </w:p>
    <w:p>
      <w:pPr>
        <w:spacing w:before="320" w:after="80"/>
        <w:jc w:val="left"/>
        <w:pBdr>
          <w:bottom w:val="single" w:sz="4" w:space="1" w:color="1a1a2e"/>
        </w:pBdr>
      </w:pPr>
      <w:r>
        <w:rPr>
          <w:rFonts w:ascii="Arial" w:hAnsi="Arial"/>
          <w:b/>
          <w:i w:val="0"/>
          <w:color w:val="1A1A2E"/>
          <w:sz w:val="24"/>
        </w:rPr>
        <w:t>XI. INTERNATIONAL HUMAN RIGHTS LAW</w:t>
      </w:r>
    </w:p>
    <w:p>
      <w:pPr>
        <w:spacing w:before="0" w:after="120"/>
        <w:jc w:val="both"/>
      </w:pPr>
      <w:r>
        <w:rPr>
          <w:rFonts w:ascii="Arial" w:hAnsi="Arial"/>
          <w:b w:val="0"/>
          <w:i w:val="0"/>
          <w:color w:val="000000"/>
          <w:sz w:val="21"/>
        </w:rPr>
        <w:t>The United States has ratified several international human rights instruments that are binding as a matter of international law and that provide independent forums for claims that cannot be fully redressed in domestic courts.</w:t>
      </w:r>
    </w:p>
    <w:p>
      <w:pPr>
        <w:spacing w:before="200" w:after="60"/>
        <w:jc w:val="left"/>
      </w:pPr>
      <w:r>
        <w:rPr>
          <w:rFonts w:ascii="Arial" w:hAnsi="Arial"/>
          <w:b/>
          <w:i w:val="0"/>
          <w:color w:val="222244"/>
          <w:sz w:val="22"/>
        </w:rPr>
        <w:t>A. The International Covenant on Civil and Political Rights</w:t>
      </w:r>
    </w:p>
    <w:p>
      <w:pPr>
        <w:spacing w:before="0" w:after="120"/>
        <w:jc w:val="both"/>
      </w:pPr>
      <w:r>
        <w:rPr>
          <w:rFonts w:ascii="Arial" w:hAnsi="Arial"/>
          <w:b w:val="0"/>
          <w:i w:val="0"/>
          <w:color w:val="000000"/>
          <w:sz w:val="21"/>
        </w:rPr>
        <w:t>Ratified by the United States in 1992, the ICCPR protects the right to life under Article 6, freedom from torture and cruel treatment under Article 7, liberty and security of person under Article 9, equal protection before the law under Article 26, and freedom of thought, conscience, and religion under Article 18. The Human Rights Committee, which monitors ICCPR compliance, has found the United States in violation of multiple articles in connection with racial disparities in the criminal justice system.</w:t>
      </w:r>
    </w:p>
    <w:p>
      <w:pPr>
        <w:spacing w:before="200" w:after="60"/>
        <w:jc w:val="left"/>
      </w:pPr>
      <w:r>
        <w:rPr>
          <w:rFonts w:ascii="Arial" w:hAnsi="Arial"/>
          <w:b/>
          <w:i w:val="0"/>
          <w:color w:val="222244"/>
          <w:sz w:val="22"/>
        </w:rPr>
        <w:t>B. The Universal Declaration of Human Rights</w:t>
      </w:r>
    </w:p>
    <w:p>
      <w:pPr>
        <w:spacing w:before="0" w:after="120"/>
        <w:jc w:val="both"/>
      </w:pPr>
      <w:r>
        <w:rPr>
          <w:rFonts w:ascii="Arial" w:hAnsi="Arial"/>
          <w:b w:val="0"/>
          <w:i w:val="0"/>
          <w:color w:val="000000"/>
          <w:sz w:val="21"/>
        </w:rPr>
        <w:t>Article 1 of the UDHR declares that all human beings are born free and equal in dignity and rights. Article 18 protects freedom of thought, conscience, and religion. Article 25 protects the right to an adequate standard of living. While the UDHR is not a binding treaty, it constitutes authoritative evidence of customary international law and is directly cited by international human rights bodies as the foundation of their jurisprudence.</w:t>
      </w:r>
    </w:p>
    <w:p>
      <w:pPr>
        <w:spacing w:before="200" w:after="60"/>
        <w:jc w:val="left"/>
      </w:pPr>
      <w:r>
        <w:rPr>
          <w:rFonts w:ascii="Arial" w:hAnsi="Arial"/>
          <w:b/>
          <w:i w:val="0"/>
          <w:color w:val="222244"/>
          <w:sz w:val="22"/>
        </w:rPr>
        <w:t>C. The Inter-American Commission on Human Rights</w:t>
      </w:r>
    </w:p>
    <w:p>
      <w:pPr>
        <w:spacing w:before="0" w:after="120"/>
        <w:jc w:val="both"/>
      </w:pPr>
      <w:r>
        <w:rPr>
          <w:rFonts w:ascii="Arial" w:hAnsi="Arial"/>
          <w:b w:val="0"/>
          <w:i w:val="0"/>
          <w:color w:val="000000"/>
          <w:sz w:val="21"/>
        </w:rPr>
        <w:t>The Inter-American Commission on Human Rights has jurisdiction over the United States as a member of the Organization of American States. The Commission has accepted petitions from Black Americans on issues of racial discrimination in the criminal justice system and has found the United States in violation of the American Declaration of the Rights and Duties of Man. The Commission provides an accessible international forum for claims that have been exhausted in domestic courts.</w:t>
      </w:r>
    </w:p>
    <w:p>
      <w:pPr>
        <w:spacing w:before="200" w:after="60"/>
        <w:jc w:val="left"/>
      </w:pPr>
      <w:r>
        <w:rPr>
          <w:rFonts w:ascii="Arial" w:hAnsi="Arial"/>
          <w:b/>
          <w:i w:val="0"/>
          <w:color w:val="222244"/>
          <w:sz w:val="22"/>
        </w:rPr>
        <w:t>D. UN Declaration on the Rights of Indigenous Peoples</w:t>
      </w:r>
    </w:p>
    <w:p>
      <w:pPr>
        <w:spacing w:before="0" w:after="120"/>
        <w:jc w:val="both"/>
      </w:pPr>
      <w:r>
        <w:rPr>
          <w:rFonts w:ascii="Arial" w:hAnsi="Arial"/>
          <w:b w:val="0"/>
          <w:i w:val="0"/>
          <w:color w:val="000000"/>
          <w:sz w:val="21"/>
        </w:rPr>
        <w:t>Endorsed by the United States in 2010, UNDRIP recognizes the rights of indigenous peoples to their lands, territories, and resources and to maintain and strengthen their distinctive spiritual relationship with their traditionally owned lands. Article 25 specifically protects the spiritual relationship with land. These provisions are directly operative before international bodies and inform domestic constitutional interpretation.</w:t>
      </w:r>
    </w:p>
    <w:p>
      <w:pPr>
        <w:spacing w:before="320" w:after="80"/>
        <w:jc w:val="left"/>
        <w:pBdr>
          <w:bottom w:val="single" w:sz="4" w:space="1" w:color="1a1a2e"/>
        </w:pBdr>
      </w:pPr>
      <w:r>
        <w:rPr>
          <w:rFonts w:ascii="Arial" w:hAnsi="Arial"/>
          <w:b/>
          <w:i w:val="0"/>
          <w:color w:val="1A1A2E"/>
          <w:sz w:val="24"/>
        </w:rPr>
        <w:t>XII. LOPER BRIGHT AND THE END OF AGENCY DEFERENCE</w:t>
      </w:r>
    </w:p>
    <w:p>
      <w:pPr>
        <w:spacing w:before="0" w:after="120"/>
        <w:jc w:val="both"/>
      </w:pPr>
      <w:r>
        <w:rPr>
          <w:rFonts w:ascii="Arial" w:hAnsi="Arial"/>
          <w:b w:val="0"/>
          <w:i w:val="0"/>
          <w:color w:val="000000"/>
          <w:sz w:val="21"/>
        </w:rPr>
        <w:t>In Loper Bright Enterprises v. Raimondo, 603 U.S. ___ (2024), the Supreme Court overruled Chevron U.S.A., Inc. v. Natural Resources Defense Council, 467 U.S. 837 (1984), eliminating the doctrine that required courts to defer to federal agencies' interpretations of ambiguous statutes. This decision creates significant new openings for the arguments advanced in this doctrine.</w:t>
      </w:r>
    </w:p>
    <w:p>
      <w:pPr>
        <w:spacing w:before="200" w:after="60"/>
        <w:jc w:val="left"/>
      </w:pPr>
      <w:r>
        <w:rPr>
          <w:rFonts w:ascii="Arial" w:hAnsi="Arial"/>
          <w:b/>
          <w:i w:val="0"/>
          <w:color w:val="222244"/>
          <w:sz w:val="22"/>
        </w:rPr>
        <w:t>A. What Loper Bright Means for the Average Person</w:t>
      </w:r>
    </w:p>
    <w:p>
      <w:pPr>
        <w:spacing w:before="0" w:after="120"/>
        <w:jc w:val="both"/>
      </w:pPr>
      <w:r>
        <w:rPr>
          <w:rFonts w:ascii="Arial" w:hAnsi="Arial"/>
          <w:b w:val="0"/>
          <w:i w:val="0"/>
          <w:color w:val="000000"/>
          <w:sz w:val="21"/>
        </w:rPr>
        <w:t>For forty years, Chevron deference meant that when a federal agency interpreted an ambiguous statute in a way that burdened individuals, courts would defer to that interpretation. Loper Bright ends that deference. Courts must now independently interpret statutes, which means that agency overreach is no longer protected by automatic judicial deference. Any agency action that rests on an aggressive interpretation of statutory authority is now vulnerable to independent judicial scrutiny.</w:t>
      </w:r>
    </w:p>
    <w:p>
      <w:pPr>
        <w:spacing w:before="200" w:after="60"/>
        <w:jc w:val="left"/>
      </w:pPr>
      <w:r>
        <w:rPr>
          <w:rFonts w:ascii="Arial" w:hAnsi="Arial"/>
          <w:b/>
          <w:i w:val="0"/>
          <w:color w:val="222244"/>
          <w:sz w:val="22"/>
        </w:rPr>
        <w:t>B. Application to Claims Under This Doctrine</w:t>
      </w:r>
    </w:p>
    <w:p>
      <w:pPr>
        <w:spacing w:before="0" w:after="120"/>
        <w:jc w:val="both"/>
      </w:pPr>
      <w:r>
        <w:rPr>
          <w:rFonts w:ascii="Arial" w:hAnsi="Arial"/>
          <w:b w:val="0"/>
          <w:i w:val="0"/>
          <w:color w:val="000000"/>
          <w:sz w:val="21"/>
        </w:rPr>
        <w:t>IRS regulations, administrative enforcement actions, agency licensing requirements, and federal program eligibility rules that have been applied to burden the living being's religious practice, economic sovereignty, or physical liberty, and that rest on agency interpretation of ambiguous statutory language, are now subject to independent judicial review. Every argument in this doctrine that involves agency action should include a Loper Bright challenge to the statutory authority underlying that action.</w:t>
      </w:r>
    </w:p>
    <w:p>
      <w:pPr>
        <w:spacing w:before="320" w:after="80"/>
        <w:jc w:val="left"/>
        <w:pBdr>
          <w:bottom w:val="single" w:sz="4" w:space="1" w:color="1a1a2e"/>
        </w:pBdr>
      </w:pPr>
      <w:r>
        <w:rPr>
          <w:rFonts w:ascii="Arial" w:hAnsi="Arial"/>
          <w:b/>
          <w:i w:val="0"/>
          <w:color w:val="1A1A2E"/>
          <w:sz w:val="24"/>
        </w:rPr>
        <w:t>XIII. THE DOCTRINE APPLIED: A DEFENSE FRAMEWORK</w:t>
      </w:r>
    </w:p>
    <w:p>
      <w:pPr>
        <w:spacing w:before="0" w:after="120"/>
        <w:jc w:val="both"/>
      </w:pPr>
      <w:r>
        <w:rPr>
          <w:rFonts w:ascii="Arial" w:hAnsi="Arial"/>
          <w:b w:val="0"/>
          <w:i w:val="0"/>
          <w:color w:val="000000"/>
          <w:sz w:val="21"/>
        </w:rPr>
        <w:t>The following framework translates this doctrine into operative defenses for specific real-world encounters. Each defense is designed to be non-frivolous, legally grounded, and usable by a living being without institutional legal resources.</w:t>
      </w:r>
    </w:p>
    <w:p>
      <w:pPr>
        <w:spacing w:before="200" w:after="60"/>
        <w:jc w:val="left"/>
      </w:pPr>
      <w:r>
        <w:rPr>
          <w:rFonts w:ascii="Arial" w:hAnsi="Arial"/>
          <w:b/>
          <w:i w:val="0"/>
          <w:color w:val="222244"/>
          <w:sz w:val="22"/>
        </w:rPr>
        <w:t>A. Upon Any Encounter with Law Enforcement</w:t>
      </w:r>
    </w:p>
    <w:p>
      <w:pPr>
        <w:spacing w:before="0" w:after="60"/>
        <w:jc w:val="both"/>
      </w:pPr>
      <w:r>
        <w:rPr>
          <w:rFonts w:ascii="Arial" w:hAnsi="Arial"/>
          <w:b w:val="0"/>
          <w:i w:val="0"/>
          <w:color w:val="000000"/>
          <w:sz w:val="21"/>
        </w:rPr>
        <w:t>The following rights apply and must be asserted clearly and calmly:</w:t>
      </w:r>
    </w:p>
    <w:p>
      <w:pPr>
        <w:pStyle w:val="ListBullet"/>
        <w:spacing w:after="60"/>
        <w:ind w:left="576"/>
      </w:pPr>
      <w:r>
        <w:rPr>
          <w:rFonts w:ascii="Arial" w:hAnsi="Arial"/>
          <w:sz w:val="21"/>
        </w:rPr>
        <w:t>The right to know whether you are free to leave. If the officer says no, you are seized and the Fourth Amendment applies in full.</w:t>
      </w:r>
    </w:p>
    <w:p>
      <w:pPr>
        <w:pStyle w:val="ListBullet"/>
        <w:spacing w:after="60"/>
        <w:ind w:left="576"/>
      </w:pPr>
      <w:r>
        <w:rPr>
          <w:rFonts w:ascii="Arial" w:hAnsi="Arial"/>
          <w:sz w:val="21"/>
        </w:rPr>
        <w:t>The right to remain silent. Fifth Amendment. Invoke it explicitly: I am invoking my right to remain silent.</w:t>
      </w:r>
    </w:p>
    <w:p>
      <w:pPr>
        <w:pStyle w:val="ListBullet"/>
        <w:spacing w:after="60"/>
        <w:ind w:left="576"/>
      </w:pPr>
      <w:r>
        <w:rPr>
          <w:rFonts w:ascii="Arial" w:hAnsi="Arial"/>
          <w:sz w:val="21"/>
        </w:rPr>
        <w:t>The right to refuse consent to search. The officer may search without consent only with a warrant or a recognized exception.</w:t>
      </w:r>
    </w:p>
    <w:p>
      <w:pPr>
        <w:pStyle w:val="ListBullet"/>
        <w:spacing w:after="60"/>
        <w:ind w:left="576"/>
      </w:pPr>
      <w:r>
        <w:rPr>
          <w:rFonts w:ascii="Arial" w:hAnsi="Arial"/>
          <w:sz w:val="21"/>
        </w:rPr>
        <w:t>The right to record the encounter in any public space. First Amendment. Glik v. Cunniffe, 655 F.3d 78 (1st Cir. 2011).</w:t>
      </w:r>
    </w:p>
    <w:p>
      <w:pPr>
        <w:pStyle w:val="ListBullet"/>
        <w:spacing w:after="60"/>
        <w:ind w:left="576"/>
      </w:pPr>
      <w:r>
        <w:rPr>
          <w:rFonts w:ascii="Arial" w:hAnsi="Arial"/>
          <w:sz w:val="21"/>
        </w:rPr>
        <w:t>The right to be free from racially motivated stops. Any stop based on race rather than individualized suspicion violates the Fourth and Fourteenth Amendments.</w:t>
      </w:r>
    </w:p>
    <w:p>
      <w:pPr>
        <w:spacing w:before="200" w:after="60"/>
        <w:jc w:val="left"/>
      </w:pPr>
      <w:r>
        <w:rPr>
          <w:rFonts w:ascii="Arial" w:hAnsi="Arial"/>
          <w:b/>
          <w:i w:val="0"/>
          <w:color w:val="222244"/>
          <w:sz w:val="22"/>
        </w:rPr>
        <w:t>B. Upon Any Administrative or Agency Action</w:t>
      </w:r>
    </w:p>
    <w:p>
      <w:pPr>
        <w:spacing w:before="0" w:after="60"/>
        <w:jc w:val="both"/>
      </w:pPr>
      <w:r>
        <w:rPr>
          <w:rFonts w:ascii="Arial" w:hAnsi="Arial"/>
          <w:b w:val="0"/>
          <w:i w:val="0"/>
          <w:color w:val="000000"/>
          <w:sz w:val="21"/>
        </w:rPr>
        <w:t>The following challenges are available:</w:t>
      </w:r>
    </w:p>
    <w:p>
      <w:pPr>
        <w:pStyle w:val="ListBullet"/>
        <w:spacing w:after="60"/>
        <w:ind w:left="576"/>
      </w:pPr>
      <w:r>
        <w:rPr>
          <w:rFonts w:ascii="Arial" w:hAnsi="Arial"/>
          <w:sz w:val="21"/>
        </w:rPr>
        <w:t>RFRA challenge: Does this agency action substantially burden a sincerely held religious belief? If so, the government must demonstrate compelling interest and least restrictive means.</w:t>
      </w:r>
    </w:p>
    <w:p>
      <w:pPr>
        <w:pStyle w:val="ListBullet"/>
        <w:spacing w:after="60"/>
        <w:ind w:left="576"/>
      </w:pPr>
      <w:r>
        <w:rPr>
          <w:rFonts w:ascii="Arial" w:hAnsi="Arial"/>
          <w:sz w:val="21"/>
        </w:rPr>
        <w:t>Loper Bright challenge: Does the agency's action rest on an interpretation of ambiguous statutory language? If so, that interpretation is no longer entitled to deference.</w:t>
      </w:r>
    </w:p>
    <w:p>
      <w:pPr>
        <w:pStyle w:val="ListBullet"/>
        <w:spacing w:after="60"/>
        <w:ind w:left="576"/>
      </w:pPr>
      <w:r>
        <w:rPr>
          <w:rFonts w:ascii="Arial" w:hAnsi="Arial"/>
          <w:sz w:val="21"/>
        </w:rPr>
        <w:t>Due process challenge: Has the agency provided adequate notice and an opportunity to be heard before depriving the living being of any right or interest? Mathews v. Eldridge, 424 U.S. 319 (1976).</w:t>
      </w:r>
    </w:p>
    <w:p>
      <w:pPr>
        <w:pStyle w:val="ListBullet"/>
        <w:spacing w:after="60"/>
        <w:ind w:left="576"/>
      </w:pPr>
      <w:r>
        <w:rPr>
          <w:rFonts w:ascii="Arial" w:hAnsi="Arial"/>
          <w:sz w:val="21"/>
        </w:rPr>
        <w:t>Equal protection challenge: Is this agency action applied with racially disparate effect and identifiable discriminatory purpose?</w:t>
      </w:r>
    </w:p>
    <w:p>
      <w:pPr>
        <w:spacing w:before="200" w:after="60"/>
        <w:jc w:val="left"/>
      </w:pPr>
      <w:r>
        <w:rPr>
          <w:rFonts w:ascii="Arial" w:hAnsi="Arial"/>
          <w:b/>
          <w:i w:val="0"/>
          <w:color w:val="222244"/>
          <w:sz w:val="22"/>
        </w:rPr>
        <w:t>C. Upon Any Court Proceeding</w:t>
      </w:r>
    </w:p>
    <w:p>
      <w:pPr>
        <w:spacing w:before="0" w:after="60"/>
        <w:jc w:val="both"/>
      </w:pPr>
      <w:r>
        <w:rPr>
          <w:rFonts w:ascii="Arial" w:hAnsi="Arial"/>
          <w:b w:val="0"/>
          <w:i w:val="0"/>
          <w:color w:val="000000"/>
          <w:sz w:val="21"/>
        </w:rPr>
        <w:t>The following foundational assertions establish the living being's standing:</w:t>
      </w:r>
    </w:p>
    <w:p>
      <w:pPr>
        <w:pStyle w:val="ListBullet"/>
        <w:spacing w:after="60"/>
        <w:ind w:left="576"/>
      </w:pPr>
      <w:r>
        <w:rPr>
          <w:rFonts w:ascii="Arial" w:hAnsi="Arial"/>
          <w:sz w:val="21"/>
        </w:rPr>
        <w:t>This court operates under an oath to God and truth, which this doctrine acknowledges and holds the court to.</w:t>
      </w:r>
    </w:p>
    <w:p>
      <w:pPr>
        <w:pStyle w:val="ListBullet"/>
        <w:spacing w:after="60"/>
        <w:ind w:left="576"/>
      </w:pPr>
      <w:r>
        <w:rPr>
          <w:rFonts w:ascii="Arial" w:hAnsi="Arial"/>
          <w:sz w:val="21"/>
        </w:rPr>
        <w:t>This living being's existence precedes the State. The State's jurisdiction extends to conduct and not to the ontological nature of the being.</w:t>
      </w:r>
    </w:p>
    <w:p>
      <w:pPr>
        <w:pStyle w:val="ListBullet"/>
        <w:spacing w:after="60"/>
        <w:ind w:left="576"/>
      </w:pPr>
      <w:r>
        <w:rPr>
          <w:rFonts w:ascii="Arial" w:hAnsi="Arial"/>
          <w:sz w:val="21"/>
        </w:rPr>
        <w:t>This living being asserts all rights under the First, Fourth, Fifth, Thirteenth, and Fourteenth Amendments; under RFRA; under the Georgia Constitution; and under applicable international human rights instruments.</w:t>
      </w:r>
    </w:p>
    <w:p>
      <w:pPr>
        <w:pStyle w:val="ListBullet"/>
        <w:spacing w:after="60"/>
        <w:ind w:left="576"/>
      </w:pPr>
      <w:r>
        <w:rPr>
          <w:rFonts w:ascii="Arial" w:hAnsi="Arial"/>
          <w:sz w:val="21"/>
        </w:rPr>
        <w:t>Any proceeding that fails to honor these rights is subject to appeal, habeas challenge, and international petition.</w:t>
      </w:r>
    </w:p>
    <w:p>
      <w:pPr>
        <w:spacing w:before="320" w:after="80"/>
        <w:jc w:val="left"/>
        <w:pBdr>
          <w:bottom w:val="single" w:sz="4" w:space="1" w:color="1a1a2e"/>
        </w:pBdr>
      </w:pPr>
      <w:r>
        <w:rPr>
          <w:rFonts w:ascii="Arial" w:hAnsi="Arial"/>
          <w:b/>
          <w:i w:val="0"/>
          <w:color w:val="1A1A2E"/>
          <w:sz w:val="24"/>
        </w:rPr>
        <w:t>XIV. CONCLUSION AND REMEDY</w:t>
      </w:r>
    </w:p>
    <w:p>
      <w:pPr>
        <w:spacing w:before="0" w:after="120"/>
        <w:jc w:val="both"/>
      </w:pPr>
      <w:r>
        <w:rPr>
          <w:rFonts w:ascii="Arial" w:hAnsi="Arial"/>
          <w:b w:val="0"/>
          <w:i w:val="0"/>
          <w:color w:val="000000"/>
          <w:sz w:val="21"/>
        </w:rPr>
        <w:t>This doctrine establishes a complete, legally grounded, non-frivolous framework for the defense of the living being of African and indigenous descent against the overreach of Man-Made Law. It does not ask any court or agency to accept metaphysical claims as legal facts. It asks every court and agency to do what they are already obligated to do: honor the Constitution they swore to uphold, apply the statutes Congress enacted, fulfill the international commitments the United States has made, and extend to every living being the equal protection and due process the law has always promised but never fully delivered.</w:t>
      </w:r>
    </w:p>
    <w:p>
      <w:pPr>
        <w:spacing w:before="0" w:after="120"/>
        <w:jc w:val="both"/>
      </w:pPr>
      <w:r>
        <w:rPr>
          <w:rFonts w:ascii="Arial" w:hAnsi="Arial"/>
          <w:b w:val="0"/>
          <w:i w:val="0"/>
          <w:color w:val="000000"/>
          <w:sz w:val="21"/>
        </w:rPr>
        <w:t>The remedy this doctrine seeks is not separation from the legal system. It is the full, honest, and equal application of that system to those it has historically excluded. Where the system cannot meet that standard, where it cannot demonstrate compelling interest, least restrictive means, individualized suspicion, due process, and equal protection, it must yield. Not because this doctrine says so. Because the Constitution, the statutes, the case law, and the international instruments the system itself created and ratified say so.</w:t>
      </w:r>
    </w:p>
    <w:p>
      <w:pPr>
        <w:spacing w:before="0" w:after="280"/>
        <w:jc w:val="both"/>
      </w:pPr>
      <w:r>
        <w:rPr>
          <w:rFonts w:ascii="Arial" w:hAnsi="Arial"/>
          <w:b w:val="0"/>
          <w:i w:val="0"/>
          <w:color w:val="000000"/>
          <w:sz w:val="21"/>
        </w:rPr>
        <w:t>This doctrine is living. It will be updated as case law develops, as international human rights bodies issue new findings, and as the ongoing work of The Sovereign Self: Reclaiming Divine Intent in Law and Governance continues. It is offered freely to any living being who needs it, as a shield, as a framework, and as a declaration that the law belongs to the people it was always meant to serve.</w:t>
      </w:r>
    </w:p>
    <w:p>
      <w:r>
        <w:br w:type="page"/>
      </w:r>
    </w:p>
    <w:p>
      <w:pPr>
        <w:spacing w:before="320" w:after="80"/>
        <w:jc w:val="left"/>
        <w:pBdr>
          <w:bottom w:val="single" w:sz="4" w:space="1" w:color="1a1a2e"/>
        </w:pBdr>
      </w:pPr>
      <w:r>
        <w:rPr>
          <w:rFonts w:ascii="Arial" w:hAnsi="Arial"/>
          <w:b/>
          <w:i w:val="0"/>
          <w:color w:val="1A1A2E"/>
          <w:sz w:val="24"/>
        </w:rPr>
        <w:t>XV. TABLE OF AUTHORITIES</w:t>
      </w:r>
    </w:p>
    <w:p>
      <w:pPr>
        <w:spacing w:before="200" w:after="60"/>
        <w:jc w:val="left"/>
      </w:pPr>
      <w:r>
        <w:rPr>
          <w:rFonts w:ascii="Arial" w:hAnsi="Arial"/>
          <w:b/>
          <w:i w:val="0"/>
          <w:color w:val="222244"/>
          <w:sz w:val="22"/>
        </w:rPr>
        <w:t>United States Supreme Court Cases</w:t>
      </w:r>
    </w:p>
    <w:p>
      <w:pPr>
        <w:pStyle w:val="ListBullet"/>
        <w:spacing w:after="60"/>
        <w:ind w:left="576"/>
      </w:pPr>
      <w:r>
        <w:rPr>
          <w:rFonts w:ascii="Arial" w:hAnsi="Arial"/>
          <w:sz w:val="21"/>
        </w:rPr>
        <w:t>Boddie v. Connecticut, 401 U.S. 371 (1971)</w:t>
      </w:r>
    </w:p>
    <w:p>
      <w:pPr>
        <w:pStyle w:val="ListBullet"/>
        <w:spacing w:after="60"/>
        <w:ind w:left="576"/>
      </w:pPr>
      <w:r>
        <w:rPr>
          <w:rFonts w:ascii="Arial" w:hAnsi="Arial"/>
          <w:sz w:val="21"/>
        </w:rPr>
        <w:t>Brown v. Board of Education, 347 U.S. 483 (1954)</w:t>
      </w:r>
    </w:p>
    <w:p>
      <w:pPr>
        <w:pStyle w:val="ListBullet"/>
        <w:spacing w:after="60"/>
        <w:ind w:left="576"/>
      </w:pPr>
      <w:r>
        <w:rPr>
          <w:rFonts w:ascii="Arial" w:hAnsi="Arial"/>
          <w:sz w:val="21"/>
        </w:rPr>
        <w:t>Burwell v. Hobby Lobby Stores, Inc., 573 U.S. 682 (2014)</w:t>
      </w:r>
    </w:p>
    <w:p>
      <w:pPr>
        <w:pStyle w:val="ListBullet"/>
        <w:spacing w:after="60"/>
        <w:ind w:left="576"/>
      </w:pPr>
      <w:r>
        <w:rPr>
          <w:rFonts w:ascii="Arial" w:hAnsi="Arial"/>
          <w:sz w:val="21"/>
        </w:rPr>
        <w:t>Church of Lukumi Babalu Aye v. City of Hialeah, 508 U.S. 520 (1993)</w:t>
      </w:r>
    </w:p>
    <w:p>
      <w:pPr>
        <w:pStyle w:val="ListBullet"/>
        <w:spacing w:after="60"/>
        <w:ind w:left="576"/>
      </w:pPr>
      <w:r>
        <w:rPr>
          <w:rFonts w:ascii="Arial" w:hAnsi="Arial"/>
          <w:sz w:val="21"/>
        </w:rPr>
        <w:t>Clyatt v. United States, 197 U.S. 207 (1905)</w:t>
      </w:r>
    </w:p>
    <w:p>
      <w:pPr>
        <w:pStyle w:val="ListBullet"/>
        <w:spacing w:after="60"/>
        <w:ind w:left="576"/>
      </w:pPr>
      <w:r>
        <w:rPr>
          <w:rFonts w:ascii="Arial" w:hAnsi="Arial"/>
          <w:sz w:val="21"/>
        </w:rPr>
        <w:t>Dunaway v. New York, 442 U.S. 200 (1979)</w:t>
      </w:r>
    </w:p>
    <w:p>
      <w:pPr>
        <w:pStyle w:val="ListBullet"/>
        <w:spacing w:after="60"/>
        <w:ind w:left="576"/>
      </w:pPr>
      <w:r>
        <w:rPr>
          <w:rFonts w:ascii="Arial" w:hAnsi="Arial"/>
          <w:sz w:val="21"/>
        </w:rPr>
        <w:t>Employment Division v. Smith, 494 U.S. 872 (1990)</w:t>
      </w:r>
    </w:p>
    <w:p>
      <w:pPr>
        <w:pStyle w:val="ListBullet"/>
        <w:spacing w:after="60"/>
        <w:ind w:left="576"/>
      </w:pPr>
      <w:r>
        <w:rPr>
          <w:rFonts w:ascii="Arial" w:hAnsi="Arial"/>
          <w:sz w:val="21"/>
        </w:rPr>
        <w:t>Florida v. Bostick, 501 U.S. 429 (1991)</w:t>
      </w:r>
    </w:p>
    <w:p>
      <w:pPr>
        <w:pStyle w:val="ListBullet"/>
        <w:spacing w:after="60"/>
        <w:ind w:left="576"/>
      </w:pPr>
      <w:r>
        <w:rPr>
          <w:rFonts w:ascii="Arial" w:hAnsi="Arial"/>
          <w:sz w:val="21"/>
        </w:rPr>
        <w:t>Frazee v. Illinois Department of Employment Security, 489 U.S. 829 (1989)</w:t>
      </w:r>
    </w:p>
    <w:p>
      <w:pPr>
        <w:pStyle w:val="ListBullet"/>
        <w:spacing w:after="60"/>
        <w:ind w:left="576"/>
      </w:pPr>
      <w:r>
        <w:rPr>
          <w:rFonts w:ascii="Arial" w:hAnsi="Arial"/>
          <w:sz w:val="21"/>
        </w:rPr>
        <w:t>General Building Contractors Ass'n v. Pennsylvania, 458 U.S. 375 (1982)</w:t>
      </w:r>
    </w:p>
    <w:p>
      <w:pPr>
        <w:pStyle w:val="ListBullet"/>
        <w:spacing w:after="60"/>
        <w:ind w:left="576"/>
      </w:pPr>
      <w:r>
        <w:rPr>
          <w:rFonts w:ascii="Arial" w:hAnsi="Arial"/>
          <w:sz w:val="21"/>
        </w:rPr>
        <w:t>Gonzales v. O Centro Espirita Beneficente Uniao do Vegetal, 546 U.S. 418 (2006)</w:t>
      </w:r>
    </w:p>
    <w:p>
      <w:pPr>
        <w:pStyle w:val="ListBullet"/>
        <w:spacing w:after="60"/>
        <w:ind w:left="576"/>
      </w:pPr>
      <w:r>
        <w:rPr>
          <w:rFonts w:ascii="Arial" w:hAnsi="Arial"/>
          <w:sz w:val="21"/>
        </w:rPr>
        <w:t>Griswold v. Connecticut, 381 U.S. 479 (1965)</w:t>
      </w:r>
    </w:p>
    <w:p>
      <w:pPr>
        <w:pStyle w:val="ListBullet"/>
        <w:spacing w:after="60"/>
        <w:ind w:left="576"/>
      </w:pPr>
      <w:r>
        <w:rPr>
          <w:rFonts w:ascii="Arial" w:hAnsi="Arial"/>
          <w:sz w:val="21"/>
        </w:rPr>
        <w:t>Harlow v. Fitzgerald, 457 U.S. 800 (1982)</w:t>
      </w:r>
    </w:p>
    <w:p>
      <w:pPr>
        <w:pStyle w:val="ListBullet"/>
        <w:spacing w:after="60"/>
        <w:ind w:left="576"/>
      </w:pPr>
      <w:r>
        <w:rPr>
          <w:rFonts w:ascii="Arial" w:hAnsi="Arial"/>
          <w:sz w:val="21"/>
        </w:rPr>
        <w:t>Illinois Central Railroad v. Illinois, 146 U.S. 387 (1892)</w:t>
      </w:r>
    </w:p>
    <w:p>
      <w:pPr>
        <w:pStyle w:val="ListBullet"/>
        <w:spacing w:after="60"/>
        <w:ind w:left="576"/>
      </w:pPr>
      <w:r>
        <w:rPr>
          <w:rFonts w:ascii="Arial" w:hAnsi="Arial"/>
          <w:sz w:val="21"/>
        </w:rPr>
        <w:t>Jones v. Alfred H. Mayer Co., 392 U.S. 409 (1968)</w:t>
      </w:r>
    </w:p>
    <w:p>
      <w:pPr>
        <w:pStyle w:val="ListBullet"/>
        <w:spacing w:after="60"/>
        <w:ind w:left="576"/>
      </w:pPr>
      <w:r>
        <w:rPr>
          <w:rFonts w:ascii="Arial" w:hAnsi="Arial"/>
          <w:sz w:val="21"/>
        </w:rPr>
        <w:t>Loper Bright Enterprises v. Raimondo, 603 U.S. ___ (2024)</w:t>
      </w:r>
    </w:p>
    <w:p>
      <w:pPr>
        <w:pStyle w:val="ListBullet"/>
        <w:spacing w:after="60"/>
        <w:ind w:left="576"/>
      </w:pPr>
      <w:r>
        <w:rPr>
          <w:rFonts w:ascii="Arial" w:hAnsi="Arial"/>
          <w:sz w:val="21"/>
        </w:rPr>
        <w:t>Lyng v. Northwest Indian Cemetery Protective Ass'n, 485 U.S. 439 (1988)</w:t>
      </w:r>
    </w:p>
    <w:p>
      <w:pPr>
        <w:pStyle w:val="ListBullet"/>
        <w:spacing w:after="60"/>
        <w:ind w:left="576"/>
      </w:pPr>
      <w:r>
        <w:rPr>
          <w:rFonts w:ascii="Arial" w:hAnsi="Arial"/>
          <w:sz w:val="21"/>
        </w:rPr>
        <w:t>Marbury v. Madison, 5 U.S. 137 (1803)</w:t>
      </w:r>
    </w:p>
    <w:p>
      <w:pPr>
        <w:pStyle w:val="ListBullet"/>
        <w:spacing w:after="60"/>
        <w:ind w:left="576"/>
      </w:pPr>
      <w:r>
        <w:rPr>
          <w:rFonts w:ascii="Arial" w:hAnsi="Arial"/>
          <w:sz w:val="21"/>
        </w:rPr>
        <w:t>Mathews v. Eldridge, 424 U.S. 319 (1976)</w:t>
      </w:r>
    </w:p>
    <w:p>
      <w:pPr>
        <w:pStyle w:val="ListBullet"/>
        <w:spacing w:after="60"/>
        <w:ind w:left="576"/>
      </w:pPr>
      <w:r>
        <w:rPr>
          <w:rFonts w:ascii="Arial" w:hAnsi="Arial"/>
          <w:sz w:val="21"/>
        </w:rPr>
        <w:t>McCleskey v. Kemp, 481 U.S. 279 (1987)</w:t>
      </w:r>
    </w:p>
    <w:p>
      <w:pPr>
        <w:pStyle w:val="ListBullet"/>
        <w:spacing w:after="60"/>
        <w:ind w:left="576"/>
      </w:pPr>
      <w:r>
        <w:rPr>
          <w:rFonts w:ascii="Arial" w:hAnsi="Arial"/>
          <w:sz w:val="21"/>
        </w:rPr>
        <w:t>Obergefell v. Hodges, 576 U.S. 644 (2015)</w:t>
      </w:r>
    </w:p>
    <w:p>
      <w:pPr>
        <w:pStyle w:val="ListBullet"/>
        <w:spacing w:after="60"/>
        <w:ind w:left="576"/>
      </w:pPr>
      <w:r>
        <w:rPr>
          <w:rFonts w:ascii="Arial" w:hAnsi="Arial"/>
          <w:sz w:val="21"/>
        </w:rPr>
        <w:t>Pearson v. Callahan, 555 U.S. 223 (2009)</w:t>
      </w:r>
    </w:p>
    <w:p>
      <w:pPr>
        <w:pStyle w:val="ListBullet"/>
        <w:spacing w:after="60"/>
        <w:ind w:left="576"/>
      </w:pPr>
      <w:r>
        <w:rPr>
          <w:rFonts w:ascii="Arial" w:hAnsi="Arial"/>
          <w:sz w:val="21"/>
        </w:rPr>
        <w:t>Terry v. Ohio, 392 U.S. 1 (1968)</w:t>
      </w:r>
    </w:p>
    <w:p>
      <w:pPr>
        <w:pStyle w:val="ListBullet"/>
        <w:spacing w:after="60"/>
        <w:ind w:left="576"/>
      </w:pPr>
      <w:r>
        <w:rPr>
          <w:rFonts w:ascii="Arial" w:hAnsi="Arial"/>
          <w:sz w:val="21"/>
        </w:rPr>
        <w:t>Thomas v. Review Board, 450 U.S. 707 (1981)</w:t>
      </w:r>
    </w:p>
    <w:p>
      <w:pPr>
        <w:pStyle w:val="ListBullet"/>
        <w:spacing w:after="60"/>
        <w:ind w:left="576"/>
      </w:pPr>
      <w:r>
        <w:rPr>
          <w:rFonts w:ascii="Arial" w:hAnsi="Arial"/>
          <w:sz w:val="21"/>
        </w:rPr>
        <w:t>United States v. Seeger, 380 U.S. 163 (1965)</w:t>
      </w:r>
    </w:p>
    <w:p>
      <w:pPr>
        <w:pStyle w:val="ListBullet"/>
        <w:spacing w:after="60"/>
        <w:ind w:left="576"/>
      </w:pPr>
      <w:r>
        <w:rPr>
          <w:rFonts w:ascii="Arial" w:hAnsi="Arial"/>
          <w:sz w:val="21"/>
        </w:rPr>
        <w:t>United States v. Sokolow, 490 U.S. 1 (1989)</w:t>
      </w:r>
    </w:p>
    <w:p>
      <w:pPr>
        <w:pStyle w:val="ListBullet"/>
        <w:spacing w:after="60"/>
        <w:ind w:left="576"/>
      </w:pPr>
      <w:r>
        <w:rPr>
          <w:rFonts w:ascii="Arial" w:hAnsi="Arial"/>
          <w:sz w:val="21"/>
        </w:rPr>
        <w:t>Washington v. Davis, 426 U.S. 229 (1976)</w:t>
      </w:r>
    </w:p>
    <w:p>
      <w:pPr>
        <w:pStyle w:val="ListBullet"/>
        <w:spacing w:after="60"/>
        <w:ind w:left="576"/>
      </w:pPr>
      <w:r>
        <w:rPr>
          <w:rFonts w:ascii="Arial" w:hAnsi="Arial"/>
          <w:sz w:val="21"/>
        </w:rPr>
        <w:t>Worcester v. Georgia, 31 U.S. 515 (1832)</w:t>
      </w:r>
    </w:p>
    <w:p>
      <w:pPr>
        <w:spacing w:before="200" w:after="60"/>
        <w:jc w:val="left"/>
      </w:pPr>
      <w:r>
        <w:rPr>
          <w:rFonts w:ascii="Arial" w:hAnsi="Arial"/>
          <w:b/>
          <w:i w:val="0"/>
          <w:color w:val="222244"/>
          <w:sz w:val="22"/>
        </w:rPr>
        <w:t>Federal Circuit Court Cases</w:t>
      </w:r>
    </w:p>
    <w:p>
      <w:pPr>
        <w:pStyle w:val="ListBullet"/>
        <w:spacing w:after="60"/>
        <w:ind w:left="576"/>
      </w:pPr>
      <w:r>
        <w:rPr>
          <w:rFonts w:ascii="Arial" w:hAnsi="Arial"/>
          <w:sz w:val="21"/>
        </w:rPr>
        <w:t>Glik v. Cunniffe, 655 F.3d 78 (1st Cir. 2011)</w:t>
      </w:r>
    </w:p>
    <w:p>
      <w:pPr>
        <w:spacing w:before="200" w:after="60"/>
        <w:jc w:val="left"/>
      </w:pPr>
      <w:r>
        <w:rPr>
          <w:rFonts w:ascii="Arial" w:hAnsi="Arial"/>
          <w:b/>
          <w:i w:val="0"/>
          <w:color w:val="222244"/>
          <w:sz w:val="22"/>
        </w:rPr>
        <w:t>Federal Statutes and Constitutional Provisions</w:t>
      </w:r>
    </w:p>
    <w:p>
      <w:pPr>
        <w:pStyle w:val="ListBullet"/>
        <w:spacing w:after="60"/>
        <w:ind w:left="576"/>
      </w:pPr>
      <w:r>
        <w:rPr>
          <w:rFonts w:ascii="Arial" w:hAnsi="Arial"/>
          <w:sz w:val="21"/>
        </w:rPr>
        <w:t>U.S. Const. amend. I (Free Exercise of Religion)</w:t>
      </w:r>
    </w:p>
    <w:p>
      <w:pPr>
        <w:pStyle w:val="ListBullet"/>
        <w:spacing w:after="60"/>
        <w:ind w:left="576"/>
      </w:pPr>
      <w:r>
        <w:rPr>
          <w:rFonts w:ascii="Arial" w:hAnsi="Arial"/>
          <w:sz w:val="21"/>
        </w:rPr>
        <w:t>U.S. Const. amend. IV (Search and Seizure)</w:t>
      </w:r>
    </w:p>
    <w:p>
      <w:pPr>
        <w:pStyle w:val="ListBullet"/>
        <w:spacing w:after="60"/>
        <w:ind w:left="576"/>
      </w:pPr>
      <w:r>
        <w:rPr>
          <w:rFonts w:ascii="Arial" w:hAnsi="Arial"/>
          <w:sz w:val="21"/>
        </w:rPr>
        <w:t>U.S. Const. amend. V (Due Process; Self-Incrimination)</w:t>
      </w:r>
    </w:p>
    <w:p>
      <w:pPr>
        <w:pStyle w:val="ListBullet"/>
        <w:spacing w:after="60"/>
        <w:ind w:left="576"/>
      </w:pPr>
      <w:r>
        <w:rPr>
          <w:rFonts w:ascii="Arial" w:hAnsi="Arial"/>
          <w:sz w:val="21"/>
        </w:rPr>
        <w:t>U.S. Const. amend. XIII (Abolition of Slavery; Badges and Incidents)</w:t>
      </w:r>
    </w:p>
    <w:p>
      <w:pPr>
        <w:pStyle w:val="ListBullet"/>
        <w:spacing w:after="60"/>
        <w:ind w:left="576"/>
      </w:pPr>
      <w:r>
        <w:rPr>
          <w:rFonts w:ascii="Arial" w:hAnsi="Arial"/>
          <w:sz w:val="21"/>
        </w:rPr>
        <w:t>U.S. Const. amend. XIV (Equal Protection; Due Process)</w:t>
      </w:r>
    </w:p>
    <w:p>
      <w:pPr>
        <w:pStyle w:val="ListBullet"/>
        <w:spacing w:after="60"/>
        <w:ind w:left="576"/>
      </w:pPr>
      <w:r>
        <w:rPr>
          <w:rFonts w:ascii="Arial" w:hAnsi="Arial"/>
          <w:sz w:val="21"/>
        </w:rPr>
        <w:t>Religious Freedom Restoration Act, 42 U.S.C. section 2000bb et seq.</w:t>
      </w:r>
    </w:p>
    <w:p>
      <w:pPr>
        <w:pStyle w:val="ListBullet"/>
        <w:spacing w:after="60"/>
        <w:ind w:left="576"/>
      </w:pPr>
      <w:r>
        <w:rPr>
          <w:rFonts w:ascii="Arial" w:hAnsi="Arial"/>
          <w:sz w:val="21"/>
        </w:rPr>
        <w:t>42 U.S.C. section 1981 (Equal Rights Under the Law)</w:t>
      </w:r>
    </w:p>
    <w:p>
      <w:pPr>
        <w:pStyle w:val="ListBullet"/>
        <w:spacing w:after="60"/>
        <w:ind w:left="576"/>
      </w:pPr>
      <w:r>
        <w:rPr>
          <w:rFonts w:ascii="Arial" w:hAnsi="Arial"/>
          <w:sz w:val="21"/>
        </w:rPr>
        <w:t>42 U.S.C. section 1982 (Property Rights of Citizens)</w:t>
      </w:r>
    </w:p>
    <w:p>
      <w:pPr>
        <w:pStyle w:val="ListBullet"/>
        <w:spacing w:after="60"/>
        <w:ind w:left="576"/>
      </w:pPr>
      <w:r>
        <w:rPr>
          <w:rFonts w:ascii="Arial" w:hAnsi="Arial"/>
          <w:sz w:val="21"/>
        </w:rPr>
        <w:t>42 U.S.C. section 1983 (Civil Action for Deprivation of Rights)</w:t>
      </w:r>
    </w:p>
    <w:p>
      <w:pPr>
        <w:pStyle w:val="ListBullet"/>
        <w:spacing w:after="60"/>
        <w:ind w:left="576"/>
      </w:pPr>
      <w:r>
        <w:rPr>
          <w:rFonts w:ascii="Arial" w:hAnsi="Arial"/>
          <w:sz w:val="21"/>
        </w:rPr>
        <w:t>18 U.S.C. section 241 (Conspiracy Against Rights)</w:t>
      </w:r>
    </w:p>
    <w:p>
      <w:pPr>
        <w:pStyle w:val="ListBullet"/>
        <w:spacing w:after="60"/>
        <w:ind w:left="576"/>
      </w:pPr>
      <w:r>
        <w:rPr>
          <w:rFonts w:ascii="Arial" w:hAnsi="Arial"/>
          <w:sz w:val="21"/>
        </w:rPr>
        <w:t>18 U.S.C. section 242 (Deprivation of Rights Under Color of Law)</w:t>
      </w:r>
    </w:p>
    <w:p>
      <w:pPr>
        <w:spacing w:before="200" w:after="60"/>
        <w:jc w:val="left"/>
      </w:pPr>
      <w:r>
        <w:rPr>
          <w:rFonts w:ascii="Arial" w:hAnsi="Arial"/>
          <w:b/>
          <w:i w:val="0"/>
          <w:color w:val="222244"/>
          <w:sz w:val="22"/>
        </w:rPr>
        <w:t>Georgia Statutes and Constitutional Provisions</w:t>
      </w:r>
    </w:p>
    <w:p>
      <w:pPr>
        <w:pStyle w:val="ListBullet"/>
        <w:spacing w:after="60"/>
        <w:ind w:left="576"/>
      </w:pPr>
      <w:r>
        <w:rPr>
          <w:rFonts w:ascii="Arial" w:hAnsi="Arial"/>
          <w:sz w:val="21"/>
        </w:rPr>
        <w:t>Georgia Constitution, Art. I, Sec. I, Par. I (Due Process)</w:t>
      </w:r>
    </w:p>
    <w:p>
      <w:pPr>
        <w:pStyle w:val="ListBullet"/>
        <w:spacing w:after="60"/>
        <w:ind w:left="576"/>
      </w:pPr>
      <w:r>
        <w:rPr>
          <w:rFonts w:ascii="Arial" w:hAnsi="Arial"/>
          <w:sz w:val="21"/>
        </w:rPr>
        <w:t>Georgia Constitution, Art. I, Sec. I, Par. II (Unreasonable Searches)</w:t>
      </w:r>
    </w:p>
    <w:p>
      <w:pPr>
        <w:pStyle w:val="ListBullet"/>
        <w:spacing w:after="60"/>
        <w:ind w:left="576"/>
      </w:pPr>
      <w:r>
        <w:rPr>
          <w:rFonts w:ascii="Arial" w:hAnsi="Arial"/>
          <w:sz w:val="21"/>
        </w:rPr>
        <w:t>Georgia Constitution, Art. I, Sec. I, Par. IV (Religious Freedom)</w:t>
      </w:r>
    </w:p>
    <w:p>
      <w:pPr>
        <w:pStyle w:val="ListBullet"/>
        <w:spacing w:after="60"/>
        <w:ind w:left="576"/>
      </w:pPr>
      <w:r>
        <w:rPr>
          <w:rFonts w:ascii="Arial" w:hAnsi="Arial"/>
          <w:sz w:val="21"/>
        </w:rPr>
        <w:t>Georgia Religious Freedom Restoration Act, O.C.G.A. section 50-3-1 et seq.</w:t>
      </w:r>
    </w:p>
    <w:p>
      <w:pPr>
        <w:spacing w:before="200" w:after="60"/>
        <w:jc w:val="left"/>
      </w:pPr>
      <w:r>
        <w:rPr>
          <w:rFonts w:ascii="Arial" w:hAnsi="Arial"/>
          <w:b/>
          <w:i w:val="0"/>
          <w:color w:val="222244"/>
          <w:sz w:val="22"/>
        </w:rPr>
        <w:t>International Instruments</w:t>
      </w:r>
    </w:p>
    <w:p>
      <w:pPr>
        <w:pStyle w:val="ListBullet"/>
        <w:spacing w:after="60"/>
        <w:ind w:left="576"/>
      </w:pPr>
      <w:r>
        <w:rPr>
          <w:rFonts w:ascii="Arial" w:hAnsi="Arial"/>
          <w:sz w:val="21"/>
        </w:rPr>
        <w:t>Universal Declaration of Human Rights (1948)</w:t>
      </w:r>
    </w:p>
    <w:p>
      <w:pPr>
        <w:pStyle w:val="ListBullet"/>
        <w:spacing w:after="60"/>
        <w:ind w:left="576"/>
      </w:pPr>
      <w:r>
        <w:rPr>
          <w:rFonts w:ascii="Arial" w:hAnsi="Arial"/>
          <w:sz w:val="21"/>
        </w:rPr>
        <w:t>International Covenant on Civil and Political Rights (ratified by U.S. 1992)</w:t>
      </w:r>
    </w:p>
    <w:p>
      <w:pPr>
        <w:pStyle w:val="ListBullet"/>
        <w:spacing w:after="60"/>
        <w:ind w:left="576"/>
      </w:pPr>
      <w:r>
        <w:rPr>
          <w:rFonts w:ascii="Arial" w:hAnsi="Arial"/>
          <w:sz w:val="21"/>
        </w:rPr>
        <w:t>International Covenant on Economic, Social and Cultural Rights</w:t>
      </w:r>
    </w:p>
    <w:p>
      <w:pPr>
        <w:pStyle w:val="ListBullet"/>
        <w:spacing w:after="60"/>
        <w:ind w:left="576"/>
      </w:pPr>
      <w:r>
        <w:rPr>
          <w:rFonts w:ascii="Arial" w:hAnsi="Arial"/>
          <w:sz w:val="21"/>
        </w:rPr>
        <w:t>UN Declaration on the Rights of Indigenous Peoples (endorsed by U.S. 2010)</w:t>
      </w:r>
    </w:p>
    <w:p>
      <w:pPr>
        <w:pStyle w:val="ListBullet"/>
        <w:spacing w:after="60"/>
        <w:ind w:left="576"/>
      </w:pPr>
      <w:r>
        <w:rPr>
          <w:rFonts w:ascii="Arial" w:hAnsi="Arial"/>
          <w:sz w:val="21"/>
        </w:rPr>
        <w:t>ILO Convention No. 169 (Indigenous and Tribal Peoples Convention)</w:t>
      </w:r>
    </w:p>
    <w:p>
      <w:pPr>
        <w:pStyle w:val="ListBullet"/>
        <w:spacing w:after="60"/>
        <w:ind w:left="576"/>
      </w:pPr>
      <w:r>
        <w:rPr>
          <w:rFonts w:ascii="Arial" w:hAnsi="Arial"/>
          <w:sz w:val="21"/>
        </w:rPr>
        <w:t>American Declaration of the Rights and Duties of Man (OAS)</w:t>
      </w:r>
    </w:p>
    <w:p>
      <w:pPr>
        <w:spacing w:before="200" w:after="60"/>
        <w:jc w:val="left"/>
      </w:pPr>
      <w:r>
        <w:rPr>
          <w:rFonts w:ascii="Arial" w:hAnsi="Arial"/>
          <w:b/>
          <w:i w:val="0"/>
          <w:color w:val="222244"/>
          <w:sz w:val="22"/>
        </w:rPr>
        <w:t>Secondary Authorities</w:t>
      </w:r>
    </w:p>
    <w:p>
      <w:pPr>
        <w:pStyle w:val="ListBullet"/>
        <w:spacing w:after="60"/>
        <w:ind w:left="576"/>
      </w:pPr>
      <w:r>
        <w:rPr>
          <w:rFonts w:ascii="Arial" w:hAnsi="Arial"/>
          <w:sz w:val="21"/>
        </w:rPr>
        <w:t>Robert O. Becker, The Body Electric (1985)</w:t>
      </w:r>
    </w:p>
    <w:p>
      <w:pPr>
        <w:pStyle w:val="ListBullet"/>
        <w:spacing w:after="60"/>
        <w:ind w:left="576"/>
      </w:pPr>
      <w:r>
        <w:rPr>
          <w:rFonts w:ascii="Arial" w:hAnsi="Arial"/>
          <w:sz w:val="21"/>
        </w:rPr>
        <w:t>Winfried Otto Schumann, On the Free Oscillations of a Conducting Sphere (1952)</w:t>
      </w:r>
    </w:p>
    <w:p>
      <w:pPr>
        <w:pStyle w:val="ListBullet"/>
        <w:spacing w:after="60"/>
        <w:ind w:left="576"/>
      </w:pPr>
      <w:r>
        <w:rPr>
          <w:rFonts w:ascii="Arial" w:hAnsi="Arial"/>
          <w:sz w:val="21"/>
        </w:rPr>
        <w:t>John Locke, Second Treatise of Civil Government (1689)</w:t>
      </w:r>
    </w:p>
    <w:p>
      <w:pPr>
        <w:pStyle w:val="ListBullet"/>
        <w:spacing w:after="60"/>
        <w:ind w:left="576"/>
      </w:pPr>
      <w:r>
        <w:rPr>
          <w:rFonts w:ascii="Arial" w:hAnsi="Arial"/>
          <w:sz w:val="21"/>
        </w:rPr>
        <w:t>Rickey Allan Howard, The Sovereign Self: Reclaiming Divine Intent in Law and Governance, Volumes I-VII (2025-2026)</w:t>
      </w:r>
    </w:p>
    <w:p>
      <w:pPr>
        <w:pStyle w:val="ListBullet"/>
        <w:spacing w:after="60"/>
        <w:ind w:left="576"/>
      </w:pPr>
      <w:r>
        <w:rPr>
          <w:rFonts w:ascii="Arial" w:hAnsi="Arial"/>
          <w:sz w:val="21"/>
        </w:rPr>
        <w:t>Rickey Allan Howard, The Unified Bio-Cosmic Generator Model (2026)</w:t>
      </w:r>
    </w:p>
    <w:p>
      <w:pPr>
        <w:pStyle w:val="ListBullet"/>
        <w:spacing w:after="60"/>
        <w:ind w:left="576"/>
      </w:pPr>
      <w:r>
        <w:rPr>
          <w:rFonts w:ascii="Arial" w:hAnsi="Arial"/>
          <w:sz w:val="21"/>
        </w:rPr>
        <w:t>Rickey Allan Howard, Argument Before the Honorable Justices of the Supreme Court of the United States (2025)</w:t>
      </w:r>
    </w:p>
    <w:p>
      <w:pPr>
        <w:pStyle w:val="ListBullet"/>
        <w:spacing w:after="60"/>
        <w:ind w:left="576"/>
      </w:pPr>
      <w:r>
        <w:rPr>
          <w:rFonts w:ascii="Arial" w:hAnsi="Arial"/>
          <w:sz w:val="21"/>
        </w:rPr>
        <w:t>Rickey Allan Howard, An Indictment (2025)</w:t>
      </w:r>
    </w:p>
    <w:p>
      <w:r>
        <w:br w:type="page"/>
      </w:r>
    </w:p>
    <w:p>
      <w:pPr>
        <w:spacing w:before="0" w:after="120"/>
        <w:jc w:val="center"/>
        <w:pBdr>
          <w:bottom w:val="single" w:sz="4" w:space="1" w:color="1a1a2e"/>
        </w:pBdr>
      </w:pPr>
    </w:p>
    <w:p>
      <w:pPr>
        <w:spacing w:before="80" w:after="120"/>
        <w:jc w:val="center"/>
      </w:pPr>
      <w:r>
        <w:rPr>
          <w:rFonts w:ascii="Arial" w:hAnsi="Arial"/>
          <w:b/>
          <w:i w:val="0"/>
          <w:color w:val="1A1A2E"/>
          <w:sz w:val="22"/>
        </w:rPr>
        <w:t>EXECUTED AND AFFIRMED</w:t>
      </w:r>
    </w:p>
    <w:p>
      <w:pPr>
        <w:spacing w:before="0" w:after="240"/>
        <w:jc w:val="both"/>
      </w:pPr>
      <w:r>
        <w:rPr>
          <w:rFonts w:ascii="Arial" w:hAnsi="Arial"/>
          <w:b w:val="0"/>
          <w:i w:val="0"/>
          <w:color w:val="000000"/>
          <w:sz w:val="21"/>
        </w:rPr>
        <w:t>I, Rickey Allan Howard, a living being of Divine Creation, hereby affirm that the foregoing Doctrine is a true, accurate, and good faith statement of the legal arguments, historical facts, and spiritual framework upon which my standing rests. Every legal citation herein is made in good faith reliance on existing law. Every factual assertion is made to the best of my knowledge and belief.</w:t>
      </w:r>
    </w:p>
    <w:p>
      <w:pPr>
        <w:spacing w:before="120" w:after="40"/>
        <w:jc w:val="left"/>
      </w:pPr>
      <w:r>
        <w:rPr>
          <w:rFonts w:ascii="Arial" w:hAnsi="Arial"/>
          <w:b/>
          <w:i w:val="0"/>
          <w:color w:val="000000"/>
          <w:sz w:val="21"/>
        </w:rPr>
        <w:t xml:space="preserve">By: </w:t>
      </w:r>
      <w:r>
        <w:rPr>
          <w:rFonts w:ascii="Arial" w:hAnsi="Arial"/>
          <w:b w:val="0"/>
          <w:i w:val="0"/>
          <w:color w:val="000000"/>
          <w:sz w:val="21"/>
        </w:rPr>
        <w:t>____________________________________________________</w:t>
      </w:r>
    </w:p>
    <w:p>
      <w:pPr>
        <w:spacing w:before="120" w:after="40"/>
        <w:jc w:val="left"/>
      </w:pPr>
      <w:r>
        <w:rPr>
          <w:rFonts w:ascii="Arial" w:hAnsi="Arial"/>
          <w:b/>
          <w:i w:val="0"/>
          <w:color w:val="000000"/>
          <w:sz w:val="21"/>
        </w:rPr>
        <w:t xml:space="preserve">Print: </w:t>
      </w:r>
      <w:r>
        <w:rPr>
          <w:rFonts w:ascii="Arial" w:hAnsi="Arial"/>
          <w:b w:val="0"/>
          <w:i w:val="0"/>
          <w:color w:val="000000"/>
          <w:sz w:val="21"/>
        </w:rPr>
        <w:t>Rickey Allan Howard</w:t>
      </w:r>
    </w:p>
    <w:p>
      <w:pPr>
        <w:spacing w:before="120" w:after="40"/>
        <w:jc w:val="left"/>
      </w:pPr>
      <w:r>
        <w:rPr>
          <w:rFonts w:ascii="Arial" w:hAnsi="Arial"/>
          <w:b/>
          <w:i w:val="0"/>
          <w:color w:val="000000"/>
          <w:sz w:val="21"/>
        </w:rPr>
        <w:t xml:space="preserve">Date: </w:t>
      </w:r>
      <w:r>
        <w:rPr>
          <w:rFonts w:ascii="Arial" w:hAnsi="Arial"/>
          <w:b w:val="0"/>
          <w:i w:val="0"/>
          <w:color w:val="000000"/>
          <w:sz w:val="21"/>
        </w:rPr>
        <w:t>March 19, 2026</w:t>
      </w:r>
    </w:p>
    <w:p>
      <w:pPr>
        <w:spacing w:before="120" w:after="40"/>
        <w:jc w:val="left"/>
      </w:pPr>
      <w:r>
        <w:rPr>
          <w:rFonts w:ascii="Arial" w:hAnsi="Arial"/>
          <w:b/>
          <w:i w:val="0"/>
          <w:color w:val="000000"/>
          <w:sz w:val="21"/>
        </w:rPr>
        <w:t xml:space="preserve">Location: </w:t>
      </w:r>
      <w:r>
        <w:rPr>
          <w:rFonts w:ascii="Arial" w:hAnsi="Arial"/>
          <w:b w:val="0"/>
          <w:i w:val="0"/>
          <w:color w:val="000000"/>
          <w:sz w:val="21"/>
        </w:rPr>
        <w:t>Athens, Georgia</w:t>
      </w:r>
    </w:p>
    <w:p>
      <w:pPr>
        <w:spacing w:before="160" w:after="40"/>
        <w:jc w:val="center"/>
      </w:pPr>
      <w:r>
        <w:rPr>
          <w:rFonts w:ascii="Arial" w:hAnsi="Arial"/>
          <w:b w:val="0"/>
          <w:i w:val="0"/>
          <w:color w:val="555577"/>
          <w:sz w:val="18"/>
        </w:rPr>
        <w:t>Living Being  |  One with the Creator  |  Athens, Georgia</w:t>
      </w:r>
    </w:p>
    <w:p>
      <w:pPr>
        <w:spacing w:before="0" w:after="120"/>
        <w:jc w:val="center"/>
      </w:pPr>
      <w:r>
        <w:rPr>
          <w:rFonts w:ascii="Arial" w:hAnsi="Arial"/>
          <w:b w:val="0"/>
          <w:i/>
          <w:color w:val="555577"/>
          <w:sz w:val="18"/>
        </w:rPr>
        <w:t>Author: The Sovereign Self: Reclaiming Divine Intent in Law and Governance</w:t>
      </w:r>
    </w:p>
    <w:p>
      <w:pPr>
        <w:spacing w:before="80" w:after="80"/>
        <w:jc w:val="center"/>
        <w:pBdr>
          <w:bottom w:val="single" w:sz="2" w:space="1" w:color="1a1a2e"/>
        </w:pBdr>
      </w:pPr>
    </w:p>
    <w:p>
      <w:pPr>
        <w:spacing w:before="40" w:after="0"/>
        <w:jc w:val="center"/>
      </w:pPr>
      <w:r>
        <w:rPr>
          <w:rFonts w:ascii="Arial" w:hAnsi="Arial"/>
          <w:b w:val="0"/>
          <w:i w:val="0"/>
          <w:color w:val="000000"/>
          <w:sz w:val="21"/>
        </w:rPr>
        <w:t>This Formal Legal Doctrine is a good faith legal memorandum grounded in existing U.S. constitutional law, federal statute, binding case law, and recognized international human rights instruments. It is not a commercial instrument, UCC filing, or pseudolegal device. It is presented for lawful use in any forum of competent jurisdiction.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