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val="0"/>
          <w:i w:val="0"/>
          <w:color w:val="555577"/>
          <w:sz w:val="22"/>
        </w:rPr>
        <w:t>TOOLKIT FIVE</w:t>
      </w:r>
    </w:p>
    <w:p>
      <w:pPr>
        <w:spacing w:before="0" w:after="40"/>
        <w:jc w:val="center"/>
      </w:pPr>
      <w:r>
        <w:rPr>
          <w:rFonts w:ascii="Arial" w:hAnsi="Arial"/>
          <w:b/>
          <w:i w:val="0"/>
          <w:color w:val="1A1A2E"/>
          <w:sz w:val="30"/>
        </w:rPr>
        <w:t>ECONOMIC RIGHTS ASSERTION</w:t>
      </w:r>
    </w:p>
    <w:p>
      <w:pPr>
        <w:spacing w:before="0" w:after="40"/>
        <w:jc w:val="center"/>
      </w:pPr>
      <w:r>
        <w:rPr>
          <w:rFonts w:ascii="Arial" w:hAnsi="Arial"/>
          <w:b w:val="0"/>
          <w:i/>
          <w:color w:val="222244"/>
          <w:sz w:val="22"/>
        </w:rPr>
        <w:t>A Legal Defense Guide for the Living Being</w:t>
      </w:r>
    </w:p>
    <w:p>
      <w:pPr>
        <w:spacing w:before="80" w:after="80"/>
        <w:jc w:val="center"/>
        <w:pBdr>
          <w:bottom w:val="single" w:sz="8" w:space="1" w:color="1a1a2e"/>
        </w:pBdr>
      </w:pPr>
    </w:p>
    <w:p>
      <w:pPr>
        <w:spacing w:before="80" w:after="40"/>
        <w:jc w:val="center"/>
      </w:pPr>
      <w:r>
        <w:rPr>
          <w:rFonts w:ascii="Arial" w:hAnsi="Arial"/>
          <w:b w:val="0"/>
          <w:i w:val="0"/>
          <w:color w:val="555577"/>
          <w:sz w:val="20"/>
        </w:rPr>
        <w:t>Rickey Allan Howard  |  Athens, Georgia  |  March 19, 2026</w:t>
      </w:r>
    </w:p>
    <w:p>
      <w:pPr>
        <w:spacing w:before="0" w:after="40"/>
        <w:jc w:val="center"/>
      </w:pPr>
      <w:r>
        <w:rPr>
          <w:rFonts w:ascii="Arial" w:hAnsi="Arial"/>
          <w:b w:val="0"/>
          <w:i/>
          <w:color w:val="555577"/>
          <w:sz w:val="18"/>
        </w:rPr>
        <w:t>Part of the Sovereign Self Legal Defense Series</w:t>
      </w:r>
    </w:p>
    <w:p>
      <w:pPr>
        <w:spacing w:before="0" w:after="160"/>
        <w:jc w:val="center"/>
      </w:pPr>
      <w:r>
        <w:rPr>
          <w:rFonts w:ascii="Arial" w:hAnsi="Arial"/>
          <w:b w:val="0"/>
          <w:i/>
          <w:color w:val="555577"/>
          <w:sz w:val="18"/>
        </w:rPr>
        <w:t>Grounded in: The Doctrine of Pre-Political Sovereign Being</w:t>
      </w:r>
    </w:p>
    <w:p>
      <w:pPr>
        <w:spacing w:before="40" w:after="120"/>
        <w:jc w:val="center"/>
        <w:pBdr>
          <w:bottom w:val="single" w:sz="4" w:space="1" w:color="1a1a2e"/>
        </w:pBdr>
      </w:pPr>
    </w:p>
    <w:p>
      <w:pPr>
        <w:spacing w:before="40" w:after="80"/>
        <w:jc w:val="center"/>
      </w:pPr>
      <w:r>
        <w:rPr>
          <w:rFonts w:ascii="Arial" w:hAnsi="Arial"/>
          <w:b/>
          <w:i w:val="0"/>
          <w:color w:val="1A1A2E"/>
          <w:sz w:val="20"/>
        </w:rPr>
        <w:t>HOW TO USE THIS DOCUMENT</w:t>
      </w:r>
    </w:p>
    <w:p>
      <w:pPr>
        <w:spacing w:before="40" w:after="160"/>
        <w:jc w:val="both"/>
      </w:pPr>
      <w:r>
        <w:rPr>
          <w:rFonts w:ascii="Arial" w:hAnsi="Arial"/>
          <w:b w:val="0"/>
          <w:i w:val="0"/>
          <w:color w:val="000000"/>
          <w:sz w:val="21"/>
        </w:rPr>
        <w:t>This toolkit covers the full spectrum of economic rights available to the living being under federal law, Georgia state law, the Thirteenth Amendment badges and incidents doctrine, and international human rights instruments. Part One covers the foundational economic rights framework. Part Two covers specific economic rights contexts including consumer protection, debt collection, credit discrimination, business rights, and asset protection. Part Three provides ready-to-use assertion letters and frameworks. Part Four is the complete legal foundation.</w:t>
      </w:r>
    </w:p>
    <w:p>
      <w:r>
        <w:br w:type="page"/>
      </w:r>
    </w:p>
    <w:p>
      <w:pPr>
        <w:spacing w:before="0" w:after="80"/>
        <w:jc w:val="center"/>
      </w:pPr>
      <w:r>
        <w:rPr>
          <w:rFonts w:ascii="Arial" w:hAnsi="Arial"/>
          <w:b/>
          <w:i w:val="0"/>
          <w:color w:val="1A1A2E"/>
          <w:sz w:val="26"/>
        </w:rPr>
        <w:t>PART ONE</w:t>
      </w:r>
    </w:p>
    <w:p>
      <w:pPr>
        <w:spacing w:before="0" w:after="120"/>
        <w:jc w:val="center"/>
      </w:pPr>
      <w:r>
        <w:rPr>
          <w:rFonts w:ascii="Arial" w:hAnsi="Arial"/>
          <w:b/>
          <w:i w:val="0"/>
          <w:color w:val="222244"/>
          <w:sz w:val="22"/>
        </w:rPr>
        <w:t>THE ECONOMIC RIGHTS FRAMEWORK</w:t>
      </w:r>
    </w:p>
    <w:p>
      <w:pPr>
        <w:spacing w:before="280" w:after="80"/>
        <w:jc w:val="left"/>
        <w:pBdr>
          <w:bottom w:val="single" w:sz="4" w:space="1" w:color="1a1a2e"/>
        </w:pBdr>
      </w:pPr>
      <w:r>
        <w:rPr>
          <w:rFonts w:ascii="Arial" w:hAnsi="Arial"/>
          <w:b/>
          <w:i w:val="0"/>
          <w:color w:val="1A1A2E"/>
          <w:sz w:val="24"/>
        </w:rPr>
        <w:t>THE SACRED ECONOMY: WHY ECONOMIC RIGHTS ARE SPIRITUAL RIGHTS</w:t>
      </w:r>
    </w:p>
    <w:p>
      <w:pPr>
        <w:spacing w:before="0" w:after="120"/>
        <w:jc w:val="both"/>
      </w:pPr>
      <w:r>
        <w:rPr>
          <w:rFonts w:ascii="Arial" w:hAnsi="Arial"/>
          <w:b w:val="0"/>
          <w:i w:val="0"/>
          <w:color w:val="000000"/>
          <w:sz w:val="21"/>
        </w:rPr>
        <w:t>The living being's economic participation is not a privilege granted by the State. It is an expression of the being's divine creative energy — the manifestation of labor, intellect, and sacred will in the material world. Any system that extracts that energy without just compensation, that excludes the living being from economic opportunity through discriminatory barriers, or that strips wealth through predatory practices rooted in the structural legacy of slavery, commits a violation of both Man's Law and the higher law from which Man's Law claims to derive its authority.</w:t>
      </w:r>
    </w:p>
    <w:p>
      <w:pPr>
        <w:spacing w:before="0" w:after="120"/>
        <w:jc w:val="both"/>
      </w:pPr>
      <w:r>
        <w:rPr>
          <w:rFonts w:ascii="Arial" w:hAnsi="Arial"/>
          <w:b w:val="0"/>
          <w:i w:val="0"/>
          <w:color w:val="000000"/>
          <w:sz w:val="21"/>
        </w:rPr>
        <w:t>The Thirteenth Amendment's badges and incidents doctrine, Jones v. Alfred H. Mayer Co., 392 U.S. 409 (1968), provides the constitutional foundation for economic rights claims rooted in the structural legacy of slavery. The Equal Credit Opportunity Act, the Fair Housing Act, the Fair Debt Collection Practices Act, and Section 1981 provide the statutory tools. Together they form a complete economic rights framework that any living being can deploy.</w:t>
      </w:r>
    </w:p>
    <w:p>
      <w:pPr>
        <w:spacing w:before="280" w:after="80"/>
        <w:jc w:val="left"/>
        <w:pBdr>
          <w:bottom w:val="single" w:sz="4" w:space="1" w:color="1a1a2e"/>
        </w:pBdr>
      </w:pPr>
      <w:r>
        <w:rPr>
          <w:rFonts w:ascii="Arial" w:hAnsi="Arial"/>
          <w:b/>
          <w:i w:val="0"/>
          <w:color w:val="1A1A2E"/>
          <w:sz w:val="24"/>
        </w:rPr>
        <w:t>THE FIVE PILLARS OF ECONOMIC SOVEREIGNTY</w:t>
      </w:r>
    </w:p>
    <w:p>
      <w:pPr>
        <w:spacing w:before="120" w:after="60"/>
        <w:jc w:val="both"/>
      </w:pPr>
      <w:r>
        <w:rPr>
          <w:rFonts w:ascii="Arial" w:hAnsi="Arial"/>
          <w:b/>
          <w:i w:val="0"/>
          <w:color w:val="222244"/>
          <w:sz w:val="21"/>
        </w:rPr>
        <w:t xml:space="preserve">1.  The Right to Equal Credit:  </w:t>
      </w:r>
      <w:r>
        <w:rPr>
          <w:rFonts w:ascii="Arial" w:hAnsi="Arial"/>
          <w:b w:val="0"/>
          <w:i w:val="0"/>
          <w:color w:val="000000"/>
          <w:sz w:val="21"/>
        </w:rPr>
        <w:t>No lender may discriminate against you in any aspect of a credit transaction on the basis of race, color, religion, national origin, sex, marital status, or age. Equal Credit Opportunity Act, 15 U.S.C. section 1691.</w:t>
      </w:r>
    </w:p>
    <w:p>
      <w:pPr>
        <w:spacing w:before="120" w:after="60"/>
        <w:jc w:val="both"/>
      </w:pPr>
      <w:r>
        <w:rPr>
          <w:rFonts w:ascii="Arial" w:hAnsi="Arial"/>
          <w:b/>
          <w:i w:val="0"/>
          <w:color w:val="222244"/>
          <w:sz w:val="21"/>
        </w:rPr>
        <w:t xml:space="preserve">2.  The Right to Equal Contract:  </w:t>
      </w:r>
      <w:r>
        <w:rPr>
          <w:rFonts w:ascii="Arial" w:hAnsi="Arial"/>
          <w:b w:val="0"/>
          <w:i w:val="0"/>
          <w:color w:val="000000"/>
          <w:sz w:val="21"/>
        </w:rPr>
        <w:t>No person or entity may discriminate against you in the making, performance, modification, or termination of contracts on the basis of race. 42 U.S.C. section 1981.</w:t>
      </w:r>
    </w:p>
    <w:p>
      <w:pPr>
        <w:spacing w:before="120" w:after="60"/>
        <w:jc w:val="both"/>
      </w:pPr>
      <w:r>
        <w:rPr>
          <w:rFonts w:ascii="Arial" w:hAnsi="Arial"/>
          <w:b/>
          <w:i w:val="0"/>
          <w:color w:val="222244"/>
          <w:sz w:val="21"/>
        </w:rPr>
        <w:t xml:space="preserve">3.  The Right to Freedom from Predatory Debt Collection:  </w:t>
      </w:r>
      <w:r>
        <w:rPr>
          <w:rFonts w:ascii="Arial" w:hAnsi="Arial"/>
          <w:b w:val="0"/>
          <w:i w:val="0"/>
          <w:color w:val="000000"/>
          <w:sz w:val="21"/>
        </w:rPr>
        <w:t>Debt collectors may not harass, abuse, or deceive you. Fair Debt Collection Practices Act, 15 U.S.C. sections 1692 et seq.</w:t>
      </w:r>
    </w:p>
    <w:p>
      <w:pPr>
        <w:spacing w:before="120" w:after="60"/>
        <w:jc w:val="both"/>
      </w:pPr>
      <w:r>
        <w:rPr>
          <w:rFonts w:ascii="Arial" w:hAnsi="Arial"/>
          <w:b/>
          <w:i w:val="0"/>
          <w:color w:val="222244"/>
          <w:sz w:val="21"/>
        </w:rPr>
        <w:t xml:space="preserve">4.  The Right to Accurate Credit Reporting:  </w:t>
      </w:r>
      <w:r>
        <w:rPr>
          <w:rFonts w:ascii="Arial" w:hAnsi="Arial"/>
          <w:b w:val="0"/>
          <w:i w:val="0"/>
          <w:color w:val="000000"/>
          <w:sz w:val="21"/>
        </w:rPr>
        <w:t>You have the right to dispute inaccurate information in your credit report and to have it corrected. Fair Credit Reporting Act, 15 U.S.C. sections 1681 et seq.</w:t>
      </w:r>
    </w:p>
    <w:p>
      <w:pPr>
        <w:spacing w:before="120" w:after="60"/>
        <w:jc w:val="both"/>
      </w:pPr>
      <w:r>
        <w:rPr>
          <w:rFonts w:ascii="Arial" w:hAnsi="Arial"/>
          <w:b/>
          <w:i w:val="0"/>
          <w:color w:val="222244"/>
          <w:sz w:val="21"/>
        </w:rPr>
        <w:t xml:space="preserve">5.  The Right to Equal Business Opportunity:  </w:t>
      </w:r>
      <w:r>
        <w:rPr>
          <w:rFonts w:ascii="Arial" w:hAnsi="Arial"/>
          <w:b w:val="0"/>
          <w:i w:val="0"/>
          <w:color w:val="000000"/>
          <w:sz w:val="21"/>
        </w:rPr>
        <w:t>Racial discrimination in business licensing, contracting, and commercial opportunity violates Section 1981, the Equal Protection Clause, and the badges and incidents doctrine.</w:t>
      </w:r>
    </w:p>
    <w:p>
      <w:pPr>
        <w:spacing w:before="120" w:after="120"/>
        <w:jc w:val="center"/>
        <w:pBdr>
          <w:bottom w:val="single" w:sz="4" w:space="1" w:color="1a1a2e"/>
        </w:pBdr>
      </w:pPr>
    </w:p>
    <w:p>
      <w:r>
        <w:br w:type="page"/>
      </w:r>
    </w:p>
    <w:p>
      <w:pPr>
        <w:spacing w:before="0" w:after="80"/>
        <w:jc w:val="center"/>
      </w:pPr>
      <w:r>
        <w:rPr>
          <w:rFonts w:ascii="Arial" w:hAnsi="Arial"/>
          <w:b/>
          <w:i w:val="0"/>
          <w:color w:val="1A1A2E"/>
          <w:sz w:val="26"/>
        </w:rPr>
        <w:t>PART TWO</w:t>
      </w:r>
    </w:p>
    <w:p>
      <w:pPr>
        <w:spacing w:before="0" w:after="120"/>
        <w:jc w:val="center"/>
      </w:pPr>
      <w:r>
        <w:rPr>
          <w:rFonts w:ascii="Arial" w:hAnsi="Arial"/>
          <w:b/>
          <w:i w:val="0"/>
          <w:color w:val="222244"/>
          <w:sz w:val="22"/>
        </w:rPr>
        <w:t>SPECIFIC ECONOMIC RIGHTS CONTEXTS</w:t>
      </w:r>
    </w:p>
    <w:p>
      <w:pPr>
        <w:spacing w:before="280" w:after="80"/>
        <w:jc w:val="left"/>
        <w:pBdr>
          <w:bottom w:val="single" w:sz="4" w:space="1" w:color="1a1a2e"/>
        </w:pBdr>
      </w:pPr>
      <w:r>
        <w:rPr>
          <w:rFonts w:ascii="Arial" w:hAnsi="Arial"/>
          <w:b/>
          <w:i w:val="0"/>
          <w:color w:val="1A1A2E"/>
          <w:sz w:val="24"/>
        </w:rPr>
        <w:t>DEBT COLLECTION: YOUR RIGHTS AGAINST COLLECTORS</w:t>
      </w:r>
    </w:p>
    <w:p>
      <w:pPr>
        <w:spacing w:before="0" w:after="120"/>
        <w:jc w:val="both"/>
      </w:pPr>
      <w:r>
        <w:rPr>
          <w:rFonts w:ascii="Arial" w:hAnsi="Arial"/>
          <w:b w:val="0"/>
          <w:i w:val="0"/>
          <w:color w:val="000000"/>
          <w:sz w:val="21"/>
        </w:rPr>
        <w:t>The Fair Debt Collection Practices Act, 15 U.S.C. sections 1692 et seq., is one of the most powerful consumer protection statutes in federal law. It applies to third-party debt collectors — not original creditors — and provides specific, enforceable rights with statutory damages.</w:t>
      </w:r>
    </w:p>
    <w:p>
      <w:pPr>
        <w:spacing w:before="200" w:after="60"/>
        <w:jc w:val="left"/>
      </w:pPr>
      <w:r>
        <w:rPr>
          <w:rFonts w:ascii="Arial" w:hAnsi="Arial"/>
          <w:b/>
          <w:i w:val="0"/>
          <w:color w:val="222244"/>
          <w:sz w:val="22"/>
        </w:rPr>
        <w:t>What Debt Collectors Cannot Do</w:t>
      </w:r>
    </w:p>
    <w:p>
      <w:pPr>
        <w:pStyle w:val="ListBullet"/>
        <w:spacing w:after="60"/>
        <w:ind w:left="576"/>
      </w:pPr>
      <w:r>
        <w:rPr>
          <w:rFonts w:ascii="Arial" w:hAnsi="Arial"/>
          <w:sz w:val="21"/>
        </w:rPr>
        <w:t>Call before 8 AM or after 9 PM in your time zone.</w:t>
      </w:r>
    </w:p>
    <w:p>
      <w:pPr>
        <w:pStyle w:val="ListBullet"/>
        <w:spacing w:after="60"/>
        <w:ind w:left="576"/>
      </w:pPr>
      <w:r>
        <w:rPr>
          <w:rFonts w:ascii="Arial" w:hAnsi="Arial"/>
          <w:sz w:val="21"/>
        </w:rPr>
        <w:t>Call your workplace if you tell them your employer prohibits such calls.</w:t>
      </w:r>
    </w:p>
    <w:p>
      <w:pPr>
        <w:pStyle w:val="ListBullet"/>
        <w:spacing w:after="60"/>
        <w:ind w:left="576"/>
      </w:pPr>
      <w:r>
        <w:rPr>
          <w:rFonts w:ascii="Arial" w:hAnsi="Arial"/>
          <w:sz w:val="21"/>
        </w:rPr>
        <w:t>Contact you after you send a written cease communication request. Once received, they may only contact you to confirm no further contact or to notify you of a specific action.</w:t>
      </w:r>
    </w:p>
    <w:p>
      <w:pPr>
        <w:pStyle w:val="ListBullet"/>
        <w:spacing w:after="60"/>
        <w:ind w:left="576"/>
      </w:pPr>
      <w:r>
        <w:rPr>
          <w:rFonts w:ascii="Arial" w:hAnsi="Arial"/>
          <w:sz w:val="21"/>
        </w:rPr>
        <w:t>Use abusive, obscene, or threatening language.</w:t>
      </w:r>
    </w:p>
    <w:p>
      <w:pPr>
        <w:pStyle w:val="ListBullet"/>
        <w:spacing w:after="60"/>
        <w:ind w:left="576"/>
      </w:pPr>
      <w:r>
        <w:rPr>
          <w:rFonts w:ascii="Arial" w:hAnsi="Arial"/>
          <w:sz w:val="21"/>
        </w:rPr>
        <w:t>Make false representations about the amount owed, their identity, or the legal status of the debt.</w:t>
      </w:r>
    </w:p>
    <w:p>
      <w:pPr>
        <w:pStyle w:val="ListBullet"/>
        <w:spacing w:after="60"/>
        <w:ind w:left="576"/>
      </w:pPr>
      <w:r>
        <w:rPr>
          <w:rFonts w:ascii="Arial" w:hAnsi="Arial"/>
          <w:sz w:val="21"/>
        </w:rPr>
        <w:t>Threaten arrest or legal action they do not intend to take or are not authorized to take.</w:t>
      </w:r>
    </w:p>
    <w:p>
      <w:pPr>
        <w:pStyle w:val="ListBullet"/>
        <w:spacing w:after="60"/>
        <w:ind w:left="576"/>
      </w:pPr>
      <w:r>
        <w:rPr>
          <w:rFonts w:ascii="Arial" w:hAnsi="Arial"/>
          <w:sz w:val="21"/>
        </w:rPr>
        <w:t>Discuss your debt with third parties other than your spouse or attorney.</w:t>
      </w:r>
    </w:p>
    <w:p>
      <w:pPr>
        <w:pStyle w:val="ListBullet"/>
        <w:spacing w:after="60"/>
        <w:ind w:left="576"/>
      </w:pPr>
      <w:r>
        <w:rPr>
          <w:rFonts w:ascii="Arial" w:hAnsi="Arial"/>
          <w:sz w:val="21"/>
        </w:rPr>
        <w:t>Add unauthorized fees or interest to the amount claimed.</w:t>
      </w:r>
    </w:p>
    <w:p>
      <w:pPr>
        <w:spacing w:before="200" w:after="60"/>
        <w:jc w:val="left"/>
      </w:pPr>
      <w:r>
        <w:rPr>
          <w:rFonts w:ascii="Arial" w:hAnsi="Arial"/>
          <w:b/>
          <w:i w:val="0"/>
          <w:color w:val="222244"/>
          <w:sz w:val="22"/>
        </w:rPr>
        <w:t>The Debt Validation Right: Your Most Powerful Tool</w:t>
      </w:r>
    </w:p>
    <w:p>
      <w:pPr>
        <w:spacing w:before="0" w:after="120"/>
        <w:jc w:val="both"/>
      </w:pPr>
      <w:r>
        <w:rPr>
          <w:rFonts w:ascii="Arial" w:hAnsi="Arial"/>
          <w:b w:val="0"/>
          <w:i w:val="0"/>
          <w:color w:val="000000"/>
          <w:sz w:val="21"/>
        </w:rPr>
        <w:t>Within five days of first contact, a debt collector must send you a written notice stating the amount of the debt, the name of the creditor, and your right to dispute the debt within 30 days. If you dispute the debt in writing within 30 days, the collector must stop collection activity until it provides verification of the debt.</w:t>
      </w:r>
    </w:p>
    <w:p>
      <w:pPr>
        <w:spacing w:before="80" w:after="40"/>
        <w:ind w:left="288"/>
        <w:jc w:val="left"/>
      </w:pPr>
      <w:r>
        <w:rPr>
          <w:rFonts w:ascii="Arial" w:hAnsi="Arial"/>
          <w:b/>
          <w:i w:val="0"/>
          <w:color w:val="004D00"/>
          <w:sz w:val="20"/>
        </w:rPr>
        <w:t xml:space="preserve">WRITE THIS WITHIN 30 DAYS:  </w:t>
      </w:r>
      <w:r>
        <w:rPr>
          <w:rFonts w:ascii="Arial" w:hAnsi="Arial"/>
          <w:b w:val="0"/>
          <w:i/>
          <w:color w:val="222244"/>
          <w:sz w:val="21"/>
        </w:rPr>
        <w:t>I am writing to dispute the debt referenced in your communication dated [DATE]. Pursuant to the Fair Debt Collection Practices Act, 15 U.S.C. section 1692g, I hereby dispute this debt in its entirety and request validation including: the name and address of the original creditor; the amount of the original debt; documentation showing I am legally obligated to pay this debt; and proof that your agency is licensed to collect debts in Georgia. All collection activity must cease until this validation is provided.</w:t>
      </w:r>
    </w:p>
    <w:p>
      <w:pPr>
        <w:spacing w:before="80" w:after="80"/>
        <w:ind w:left="288"/>
        <w:jc w:val="both"/>
      </w:pPr>
      <w:r>
        <w:rPr>
          <w:rFonts w:ascii="Arial" w:hAnsi="Arial"/>
          <w:b/>
          <w:i w:val="0"/>
          <w:color w:val="8B0000"/>
          <w:sz w:val="21"/>
        </w:rPr>
        <w:t xml:space="preserve">IMPORTANT: </w:t>
      </w:r>
      <w:r>
        <w:rPr>
          <w:rFonts w:ascii="Arial" w:hAnsi="Arial"/>
          <w:b w:val="0"/>
          <w:i w:val="0"/>
          <w:color w:val="000000"/>
          <w:sz w:val="21"/>
        </w:rPr>
        <w:t>Send all debt validation requests by certified mail, return receipt requested. Keep the green card. This is your proof of timely dispute.</w:t>
      </w:r>
    </w:p>
    <w:p>
      <w:pPr>
        <w:spacing w:before="0" w:after="120"/>
        <w:jc w:val="both"/>
      </w:pPr>
      <w:r>
        <w:rPr>
          <w:rFonts w:ascii="Arial" w:hAnsi="Arial"/>
          <w:b w:val="0"/>
          <w:i w:val="0"/>
          <w:color w:val="000000"/>
          <w:sz w:val="21"/>
        </w:rPr>
        <w:t>If a collector violates the FDCPA, you may sue for actual damages, statutory damages up to $1,000 per lawsuit, and attorney fees. Many consumer attorneys handle FDCPA cases on contingency.</w:t>
      </w:r>
    </w:p>
    <w:p>
      <w:pPr>
        <w:spacing w:before="40" w:after="80"/>
        <w:ind w:left="432" w:right="432"/>
        <w:jc w:val="both"/>
      </w:pPr>
      <w:r>
        <w:rPr>
          <w:rFonts w:ascii="Arial" w:hAnsi="Arial"/>
          <w:b/>
          <w:i w:val="0"/>
          <w:color w:val="555577"/>
          <w:sz w:val="19"/>
        </w:rPr>
        <w:t xml:space="preserve">Legal Basis: </w:t>
      </w:r>
      <w:r>
        <w:rPr>
          <w:rFonts w:ascii="Arial" w:hAnsi="Arial"/>
          <w:b w:val="0"/>
          <w:i/>
          <w:color w:val="555577"/>
          <w:sz w:val="19"/>
        </w:rPr>
        <w:t>Fair Debt Collection Practices Act, 15 U.S.C. sections 1692 et seq. Heintz v. Jenkins, 514 U.S. 291 (1995): FDCPA applies to attorneys collecting debts. Georgia Fair Business Practices Act, O.C.G.A. sections 10-1-390 et seq.</w:t>
      </w:r>
    </w:p>
    <w:p>
      <w:pPr>
        <w:spacing w:before="120" w:after="120"/>
        <w:jc w:val="center"/>
        <w:pBdr>
          <w:bottom w:val="single" w:sz="4" w:space="1" w:color="1a1a2e"/>
        </w:pBdr>
      </w:pPr>
    </w:p>
    <w:p>
      <w:pPr>
        <w:spacing w:before="280" w:after="80"/>
        <w:jc w:val="left"/>
        <w:pBdr>
          <w:bottom w:val="single" w:sz="4" w:space="1" w:color="1a1a2e"/>
        </w:pBdr>
      </w:pPr>
      <w:r>
        <w:rPr>
          <w:rFonts w:ascii="Arial" w:hAnsi="Arial"/>
          <w:b/>
          <w:i w:val="0"/>
          <w:color w:val="1A1A2E"/>
          <w:sz w:val="24"/>
        </w:rPr>
        <w:t>CREDIT DISCRIMINATION: YOUR RIGHTS UNDER ECOA AND SECTION 1981</w:t>
      </w:r>
    </w:p>
    <w:p>
      <w:pPr>
        <w:spacing w:before="0" w:after="120"/>
        <w:jc w:val="both"/>
      </w:pPr>
      <w:r>
        <w:rPr>
          <w:rFonts w:ascii="Arial" w:hAnsi="Arial"/>
          <w:b w:val="0"/>
          <w:i w:val="0"/>
          <w:color w:val="000000"/>
          <w:sz w:val="21"/>
        </w:rPr>
        <w:t>Racial discrimination in lending is one of the most well-documented badges and incidents of slavery in the modern economy. Redlining, reverse redlining, predatory lending, and discriminatory underwriting have stripped generational wealth from Black communities for over a century. Federal law provides powerful tools to challenge these practices.</w:t>
      </w:r>
    </w:p>
    <w:p>
      <w:pPr>
        <w:spacing w:before="200" w:after="60"/>
        <w:jc w:val="left"/>
      </w:pPr>
      <w:r>
        <w:rPr>
          <w:rFonts w:ascii="Arial" w:hAnsi="Arial"/>
          <w:b/>
          <w:i w:val="0"/>
          <w:color w:val="222244"/>
          <w:sz w:val="22"/>
        </w:rPr>
        <w:t>The Equal Credit Opportunity Act</w:t>
      </w:r>
    </w:p>
    <w:p>
      <w:pPr>
        <w:spacing w:before="0" w:after="80"/>
        <w:jc w:val="both"/>
      </w:pPr>
      <w:r>
        <w:rPr>
          <w:rFonts w:ascii="Arial" w:hAnsi="Arial"/>
          <w:b w:val="0"/>
          <w:i w:val="0"/>
          <w:color w:val="000000"/>
          <w:sz w:val="21"/>
        </w:rPr>
        <w:t>The ECOA, 15 U.S.C. section 1691, prohibits discrimination in any aspect of a credit transaction on the basis of race, color, religion, national origin, sex, marital status, or age. This covers:</w:t>
      </w:r>
    </w:p>
    <w:p>
      <w:pPr>
        <w:pStyle w:val="ListBullet"/>
        <w:spacing w:after="60"/>
        <w:ind w:left="576"/>
      </w:pPr>
      <w:r>
        <w:rPr>
          <w:rFonts w:ascii="Arial" w:hAnsi="Arial"/>
          <w:sz w:val="21"/>
        </w:rPr>
        <w:t>Mortgage applications and refinancing.</w:t>
      </w:r>
    </w:p>
    <w:p>
      <w:pPr>
        <w:pStyle w:val="ListBullet"/>
        <w:spacing w:after="60"/>
        <w:ind w:left="576"/>
      </w:pPr>
      <w:r>
        <w:rPr>
          <w:rFonts w:ascii="Arial" w:hAnsi="Arial"/>
          <w:sz w:val="21"/>
        </w:rPr>
        <w:t>Home equity loans and lines of credit.</w:t>
      </w:r>
    </w:p>
    <w:p>
      <w:pPr>
        <w:pStyle w:val="ListBullet"/>
        <w:spacing w:after="60"/>
        <w:ind w:left="576"/>
      </w:pPr>
      <w:r>
        <w:rPr>
          <w:rFonts w:ascii="Arial" w:hAnsi="Arial"/>
          <w:sz w:val="21"/>
        </w:rPr>
        <w:t>Auto loans and personal loans.</w:t>
      </w:r>
    </w:p>
    <w:p>
      <w:pPr>
        <w:pStyle w:val="ListBullet"/>
        <w:spacing w:after="60"/>
        <w:ind w:left="576"/>
      </w:pPr>
      <w:r>
        <w:rPr>
          <w:rFonts w:ascii="Arial" w:hAnsi="Arial"/>
          <w:sz w:val="21"/>
        </w:rPr>
        <w:t>Credit cards and lines of credit.</w:t>
      </w:r>
    </w:p>
    <w:p>
      <w:pPr>
        <w:pStyle w:val="ListBullet"/>
        <w:spacing w:after="60"/>
        <w:ind w:left="576"/>
      </w:pPr>
      <w:r>
        <w:rPr>
          <w:rFonts w:ascii="Arial" w:hAnsi="Arial"/>
          <w:sz w:val="21"/>
        </w:rPr>
        <w:t>Small business loans.</w:t>
      </w:r>
    </w:p>
    <w:p>
      <w:pPr>
        <w:pStyle w:val="ListBullet"/>
        <w:spacing w:after="60"/>
        <w:ind w:left="576"/>
      </w:pPr>
      <w:r>
        <w:rPr>
          <w:rFonts w:ascii="Arial" w:hAnsi="Arial"/>
          <w:sz w:val="21"/>
        </w:rPr>
        <w:t>Any other extension of credit.</w:t>
      </w:r>
    </w:p>
    <w:p>
      <w:pPr>
        <w:spacing w:before="200" w:after="60"/>
        <w:jc w:val="left"/>
      </w:pPr>
      <w:r>
        <w:rPr>
          <w:rFonts w:ascii="Arial" w:hAnsi="Arial"/>
          <w:b/>
          <w:i w:val="0"/>
          <w:color w:val="222244"/>
          <w:sz w:val="22"/>
        </w:rPr>
        <w:t>Signs of Credit Discrimination</w:t>
      </w:r>
    </w:p>
    <w:p>
      <w:pPr>
        <w:pStyle w:val="ListBullet"/>
        <w:spacing w:after="60"/>
        <w:ind w:left="576"/>
      </w:pPr>
      <w:r>
        <w:rPr>
          <w:rFonts w:ascii="Arial" w:hAnsi="Arial"/>
          <w:sz w:val="21"/>
        </w:rPr>
        <w:t>Denial of credit despite qualifying creditworthiness.</w:t>
      </w:r>
    </w:p>
    <w:p>
      <w:pPr>
        <w:pStyle w:val="ListBullet"/>
        <w:spacing w:after="60"/>
        <w:ind w:left="576"/>
      </w:pPr>
      <w:r>
        <w:rPr>
          <w:rFonts w:ascii="Arial" w:hAnsi="Arial"/>
          <w:sz w:val="21"/>
        </w:rPr>
        <w:t>Offering less favorable terms than similarly qualified applicants of a different race receive.</w:t>
      </w:r>
    </w:p>
    <w:p>
      <w:pPr>
        <w:pStyle w:val="ListBullet"/>
        <w:spacing w:after="60"/>
        <w:ind w:left="576"/>
      </w:pPr>
      <w:r>
        <w:rPr>
          <w:rFonts w:ascii="Arial" w:hAnsi="Arial"/>
          <w:sz w:val="21"/>
        </w:rPr>
        <w:t>Steering toward higher-cost products when lower-cost products were available.</w:t>
      </w:r>
    </w:p>
    <w:p>
      <w:pPr>
        <w:pStyle w:val="ListBullet"/>
        <w:spacing w:after="60"/>
        <w:ind w:left="576"/>
      </w:pPr>
      <w:r>
        <w:rPr>
          <w:rFonts w:ascii="Arial" w:hAnsi="Arial"/>
          <w:sz w:val="21"/>
        </w:rPr>
        <w:t>Requiring additional documentation not required of other applicants.</w:t>
      </w:r>
    </w:p>
    <w:p>
      <w:pPr>
        <w:pStyle w:val="ListBullet"/>
        <w:spacing w:after="60"/>
        <w:ind w:left="576"/>
      </w:pPr>
      <w:r>
        <w:rPr>
          <w:rFonts w:ascii="Arial" w:hAnsi="Arial"/>
          <w:sz w:val="21"/>
        </w:rPr>
        <w:t>Discouraging application through discriminatory practices.</w:t>
      </w:r>
    </w:p>
    <w:p>
      <w:pPr>
        <w:pStyle w:val="ListBullet"/>
        <w:spacing w:after="60"/>
        <w:ind w:left="576"/>
      </w:pPr>
      <w:r>
        <w:rPr>
          <w:rFonts w:ascii="Arial" w:hAnsi="Arial"/>
          <w:sz w:val="21"/>
        </w:rPr>
        <w:t>Valuing your assets, home, or collateral below fair market value.</w:t>
      </w:r>
    </w:p>
    <w:p>
      <w:pPr>
        <w:spacing w:before="80" w:after="40"/>
        <w:ind w:left="288"/>
        <w:jc w:val="left"/>
      </w:pPr>
      <w:r>
        <w:rPr>
          <w:rFonts w:ascii="Arial" w:hAnsi="Arial"/>
          <w:b/>
          <w:i w:val="0"/>
          <w:color w:val="004D00"/>
          <w:sz w:val="20"/>
        </w:rPr>
        <w:t xml:space="preserve">FILE THIS:  </w:t>
      </w:r>
      <w:r>
        <w:rPr>
          <w:rFonts w:ascii="Arial" w:hAnsi="Arial"/>
          <w:b w:val="0"/>
          <w:i/>
          <w:color w:val="222244"/>
          <w:sz w:val="21"/>
        </w:rPr>
        <w:t>A complaint with the Consumer Financial Protection Bureau at consumerfinance.gov, the Federal Trade Commission at ftc.gov, and the Georgia Department of Banking and Finance at dbf.georgia.gov. Also file a charge with the U.S. Department of Housing and Urban Development if the discrimination involves housing-related credit.</w:t>
      </w:r>
    </w:p>
    <w:p>
      <w:pPr>
        <w:spacing w:before="40" w:after="80"/>
        <w:ind w:left="432" w:right="432"/>
        <w:jc w:val="both"/>
      </w:pPr>
      <w:r>
        <w:rPr>
          <w:rFonts w:ascii="Arial" w:hAnsi="Arial"/>
          <w:b/>
          <w:i w:val="0"/>
          <w:color w:val="555577"/>
          <w:sz w:val="19"/>
        </w:rPr>
        <w:t xml:space="preserve">Legal Basis: </w:t>
      </w:r>
      <w:r>
        <w:rPr>
          <w:rFonts w:ascii="Arial" w:hAnsi="Arial"/>
          <w:b w:val="0"/>
          <w:i/>
          <w:color w:val="555577"/>
          <w:sz w:val="19"/>
        </w:rPr>
        <w:t>Equal Credit Opportunity Act, 15 U.S.C. section 1691. 42 U.S.C. section 1981: Equal rights under the law in contract, including credit contracts. Fair Housing Act, 42 U.S.C. sections 3601 et seq.: Prohibits discrimination in residential real estate transactions. Jones v. Alfred H. Mayer Co., 392 U.S. 409 (1968).</w:t>
      </w:r>
    </w:p>
    <w:p>
      <w:pPr>
        <w:spacing w:before="120" w:after="120"/>
        <w:jc w:val="center"/>
        <w:pBdr>
          <w:bottom w:val="single" w:sz="4" w:space="1" w:color="1a1a2e"/>
        </w:pBdr>
      </w:pPr>
    </w:p>
    <w:p>
      <w:pPr>
        <w:spacing w:before="280" w:after="80"/>
        <w:jc w:val="left"/>
        <w:pBdr>
          <w:bottom w:val="single" w:sz="4" w:space="1" w:color="1a1a2e"/>
        </w:pBdr>
      </w:pPr>
      <w:r>
        <w:rPr>
          <w:rFonts w:ascii="Arial" w:hAnsi="Arial"/>
          <w:b/>
          <w:i w:val="0"/>
          <w:color w:val="1A1A2E"/>
          <w:sz w:val="24"/>
        </w:rPr>
        <w:t>CREDIT REPORTING: YOUR RIGHT TO ACCURATE RECORDS</w:t>
      </w:r>
    </w:p>
    <w:p>
      <w:pPr>
        <w:spacing w:before="0" w:after="120"/>
        <w:jc w:val="both"/>
      </w:pPr>
      <w:r>
        <w:rPr>
          <w:rFonts w:ascii="Arial" w:hAnsi="Arial"/>
          <w:b w:val="0"/>
          <w:i w:val="0"/>
          <w:color w:val="000000"/>
          <w:sz w:val="21"/>
        </w:rPr>
        <w:t>Your credit report is a financial identity document. Inaccurate negative information on your credit report costs you money on every loan, every insurance policy, and every financial product you access. The Fair Credit Reporting Act gives you powerful tools to correct inaccuracies and to hold credit bureaus and furnishers accountable.</w:t>
      </w:r>
    </w:p>
    <w:p>
      <w:pPr>
        <w:spacing w:before="200" w:after="60"/>
        <w:jc w:val="left"/>
      </w:pPr>
      <w:r>
        <w:rPr>
          <w:rFonts w:ascii="Arial" w:hAnsi="Arial"/>
          <w:b/>
          <w:i w:val="0"/>
          <w:color w:val="222244"/>
          <w:sz w:val="22"/>
        </w:rPr>
        <w:t>Your FCRA Rights</w:t>
      </w:r>
    </w:p>
    <w:p>
      <w:pPr>
        <w:pStyle w:val="ListBullet"/>
        <w:spacing w:after="60"/>
        <w:ind w:left="576"/>
      </w:pPr>
      <w:r>
        <w:rPr>
          <w:rFonts w:ascii="Arial" w:hAnsi="Arial"/>
          <w:sz w:val="21"/>
        </w:rPr>
        <w:t>Free annual credit report from each of the three major bureaus: Equifax, Experian, and TransUnion. Access at annualcreditreport.com.</w:t>
      </w:r>
    </w:p>
    <w:p>
      <w:pPr>
        <w:pStyle w:val="ListBullet"/>
        <w:spacing w:after="60"/>
        <w:ind w:left="576"/>
      </w:pPr>
      <w:r>
        <w:rPr>
          <w:rFonts w:ascii="Arial" w:hAnsi="Arial"/>
          <w:sz w:val="21"/>
        </w:rPr>
        <w:t>The right to dispute any inaccurate, incomplete, or unverifiable information. The bureau must investigate within 30 days and correct or delete information it cannot verify.</w:t>
      </w:r>
    </w:p>
    <w:p>
      <w:pPr>
        <w:pStyle w:val="ListBullet"/>
        <w:spacing w:after="60"/>
        <w:ind w:left="576"/>
      </w:pPr>
      <w:r>
        <w:rPr>
          <w:rFonts w:ascii="Arial" w:hAnsi="Arial"/>
          <w:sz w:val="21"/>
        </w:rPr>
        <w:t>The right to add a statement of dispute to your credit file if the bureau does not correct the information.</w:t>
      </w:r>
    </w:p>
    <w:p>
      <w:pPr>
        <w:pStyle w:val="ListBullet"/>
        <w:spacing w:after="60"/>
        <w:ind w:left="576"/>
      </w:pPr>
      <w:r>
        <w:rPr>
          <w:rFonts w:ascii="Arial" w:hAnsi="Arial"/>
          <w:sz w:val="21"/>
        </w:rPr>
        <w:t>The right to sue credit bureaus and furnishers who violate the FCRA for actual damages, statutory damages up to $1,000, and attorney fees.</w:t>
      </w:r>
    </w:p>
    <w:p>
      <w:pPr>
        <w:pStyle w:val="ListBullet"/>
        <w:spacing w:after="60"/>
        <w:ind w:left="576"/>
      </w:pPr>
      <w:r>
        <w:rPr>
          <w:rFonts w:ascii="Arial" w:hAnsi="Arial"/>
          <w:sz w:val="21"/>
        </w:rPr>
        <w:t>The right to place a credit freeze to prevent new accounts from being opened in your name without your consent.</w:t>
      </w:r>
    </w:p>
    <w:p>
      <w:pPr>
        <w:spacing w:before="80" w:after="40"/>
        <w:ind w:left="288"/>
        <w:jc w:val="left"/>
      </w:pPr>
      <w:r>
        <w:rPr>
          <w:rFonts w:ascii="Arial" w:hAnsi="Arial"/>
          <w:b/>
          <w:i w:val="0"/>
          <w:color w:val="004D00"/>
          <w:sz w:val="20"/>
        </w:rPr>
        <w:t xml:space="preserve">WRITE THIS:  </w:t>
      </w:r>
      <w:r>
        <w:rPr>
          <w:rFonts w:ascii="Arial" w:hAnsi="Arial"/>
          <w:b w:val="0"/>
          <w:i/>
          <w:color w:val="222244"/>
          <w:sz w:val="21"/>
        </w:rPr>
        <w:t>I am writing to dispute the following inaccurate information appearing on my credit report pursuant to the Fair Credit Reporting Act, 15 U.S.C. section 1681i. The inaccurate information is: [describe item]. This information is inaccurate because: [state reason]. I request that you investigate this item and correct or delete it within 30 days as required by law. I am enclosing copies of [supporting documentation].</w:t>
      </w:r>
    </w:p>
    <w:p>
      <w:pPr>
        <w:spacing w:before="40" w:after="80"/>
        <w:ind w:left="432" w:right="432"/>
        <w:jc w:val="both"/>
      </w:pPr>
      <w:r>
        <w:rPr>
          <w:rFonts w:ascii="Arial" w:hAnsi="Arial"/>
          <w:b/>
          <w:i w:val="0"/>
          <w:color w:val="555577"/>
          <w:sz w:val="19"/>
        </w:rPr>
        <w:t xml:space="preserve">Legal Basis: </w:t>
      </w:r>
      <w:r>
        <w:rPr>
          <w:rFonts w:ascii="Arial" w:hAnsi="Arial"/>
          <w:b w:val="0"/>
          <w:i/>
          <w:color w:val="555577"/>
          <w:sz w:val="19"/>
        </w:rPr>
        <w:t>Fair Credit Reporting Act, 15 U.S.C. sections 1681 et seq. Spokeo, Inc. v. Robins, 578 U.S. 330 (2016): Concrete harm required for standing. TransUnion LLC v. Ramirez, 594 U.S. 413 (2021).</w:t>
      </w:r>
    </w:p>
    <w:p>
      <w:pPr>
        <w:spacing w:before="120" w:after="120"/>
        <w:jc w:val="center"/>
        <w:pBdr>
          <w:bottom w:val="single" w:sz="4" w:space="1" w:color="1a1a2e"/>
        </w:pBdr>
      </w:pPr>
    </w:p>
    <w:p>
      <w:pPr>
        <w:spacing w:before="280" w:after="80"/>
        <w:jc w:val="left"/>
        <w:pBdr>
          <w:bottom w:val="single" w:sz="4" w:space="1" w:color="1a1a2e"/>
        </w:pBdr>
      </w:pPr>
      <w:r>
        <w:rPr>
          <w:rFonts w:ascii="Arial" w:hAnsi="Arial"/>
          <w:b/>
          <w:i w:val="0"/>
          <w:color w:val="1A1A2E"/>
          <w:sz w:val="24"/>
        </w:rPr>
        <w:t>SMALL BUSINESS AND ENTREPRENEURIAL RIGHTS</w:t>
      </w:r>
    </w:p>
    <w:p>
      <w:pPr>
        <w:spacing w:before="0" w:after="120"/>
        <w:jc w:val="both"/>
      </w:pPr>
      <w:r>
        <w:rPr>
          <w:rFonts w:ascii="Arial" w:hAnsi="Arial"/>
          <w:b w:val="0"/>
          <w:i w:val="0"/>
          <w:color w:val="000000"/>
          <w:sz w:val="21"/>
        </w:rPr>
        <w:t>Black entrepreneurship has been systematically suppressed through discriminatory licensing, contracting exclusion, and lack of access to capital. These are badges and incidents of slavery within the meaning of the Thirteenth Amendment. Federal and state law provide tools to challenge these barriers.</w:t>
      </w:r>
    </w:p>
    <w:p>
      <w:pPr>
        <w:spacing w:before="200" w:after="60"/>
        <w:jc w:val="left"/>
      </w:pPr>
      <w:r>
        <w:rPr>
          <w:rFonts w:ascii="Arial" w:hAnsi="Arial"/>
          <w:b/>
          <w:i w:val="0"/>
          <w:color w:val="222244"/>
          <w:sz w:val="22"/>
        </w:rPr>
        <w:t>Federal Contracting Rights</w:t>
      </w:r>
    </w:p>
    <w:p>
      <w:pPr>
        <w:spacing w:before="0" w:after="120"/>
        <w:jc w:val="both"/>
      </w:pPr>
      <w:r>
        <w:rPr>
          <w:rFonts w:ascii="Arial" w:hAnsi="Arial"/>
          <w:b w:val="0"/>
          <w:i w:val="0"/>
          <w:color w:val="000000"/>
          <w:sz w:val="21"/>
        </w:rPr>
        <w:t>Executive Order 11246 prohibits federal contractors from discriminating in employment on the basis of race. The Small Business Act provides programs for minority-owned businesses including the 8(a) Business Development Program, which provides access to federal contracting opportunities for socially and economically disadvantaged businesses. 15 U.S.C. sections 631 et seq.</w:t>
      </w:r>
    </w:p>
    <w:p>
      <w:pPr>
        <w:spacing w:before="200" w:after="60"/>
        <w:jc w:val="left"/>
      </w:pPr>
      <w:r>
        <w:rPr>
          <w:rFonts w:ascii="Arial" w:hAnsi="Arial"/>
          <w:b/>
          <w:i w:val="0"/>
          <w:color w:val="222244"/>
          <w:sz w:val="22"/>
        </w:rPr>
        <w:t>Section 1981 Business Claims</w:t>
      </w:r>
    </w:p>
    <w:p>
      <w:pPr>
        <w:spacing w:before="0" w:after="120"/>
        <w:jc w:val="both"/>
      </w:pPr>
      <w:r>
        <w:rPr>
          <w:rFonts w:ascii="Arial" w:hAnsi="Arial"/>
          <w:b w:val="0"/>
          <w:i w:val="0"/>
          <w:color w:val="000000"/>
          <w:sz w:val="21"/>
        </w:rPr>
        <w:t>42 U.S.C. section 1981 prohibits racial discrimination in the making and enforcement of all contracts, including business contracts, licensing agreements, vendor agreements, and commercial leases. If you have been denied a contract, a license, or a business opportunity on the basis of race, a Section 1981 claim is available with a four-year statute of limitations and no administrative exhaustion requirement.</w:t>
      </w:r>
    </w:p>
    <w:p>
      <w:pPr>
        <w:spacing w:before="200" w:after="60"/>
        <w:jc w:val="left"/>
      </w:pPr>
      <w:r>
        <w:rPr>
          <w:rFonts w:ascii="Arial" w:hAnsi="Arial"/>
          <w:b/>
          <w:i w:val="0"/>
          <w:color w:val="222244"/>
          <w:sz w:val="22"/>
        </w:rPr>
        <w:t>The Badges and Incidents Business Claim</w:t>
      </w:r>
    </w:p>
    <w:p>
      <w:pPr>
        <w:spacing w:before="0" w:after="120"/>
        <w:jc w:val="both"/>
      </w:pPr>
      <w:r>
        <w:rPr>
          <w:rFonts w:ascii="Arial" w:hAnsi="Arial"/>
          <w:b w:val="0"/>
          <w:i w:val="0"/>
          <w:color w:val="000000"/>
          <w:sz w:val="21"/>
        </w:rPr>
        <w:t>Where systemic exclusion from a market, industry, or commercial opportunity can be documented as a continuation of historically discriminatory exclusion with roots in the slave economy, the Thirteenth Amendment badges and incidents doctrine provides an additional layer of constitutional protection. This claim is most powerful in combination with Section 1981 and Equal Protection claims in litigation involving demonstrable patterns of exclusion.</w:t>
      </w:r>
    </w:p>
    <w:p>
      <w:pPr>
        <w:spacing w:before="80" w:after="80"/>
        <w:ind w:left="288"/>
        <w:jc w:val="both"/>
      </w:pPr>
      <w:r>
        <w:rPr>
          <w:rFonts w:ascii="Arial" w:hAnsi="Arial"/>
          <w:b/>
          <w:i w:val="0"/>
          <w:color w:val="7A5C00"/>
          <w:sz w:val="21"/>
        </w:rPr>
        <w:t xml:space="preserve">KEY POINT: </w:t>
      </w:r>
      <w:r>
        <w:rPr>
          <w:rFonts w:ascii="Arial" w:hAnsi="Arial"/>
          <w:b w:val="0"/>
          <w:i w:val="0"/>
          <w:color w:val="000000"/>
          <w:sz w:val="21"/>
        </w:rPr>
        <w:t>Document everything. Every denial, every disparate treatment, every instance of being steered away from opportunity. The evidentiary record you build today is the foundation of the legal claim you file tomorrow.</w:t>
      </w:r>
    </w:p>
    <w:p>
      <w:pPr>
        <w:spacing w:before="120" w:after="120"/>
        <w:jc w:val="center"/>
        <w:pBdr>
          <w:bottom w:val="single" w:sz="4" w:space="1" w:color="1a1a2e"/>
        </w:pBdr>
      </w:pPr>
    </w:p>
    <w:p>
      <w:r>
        <w:br w:type="page"/>
      </w:r>
    </w:p>
    <w:p>
      <w:pPr>
        <w:spacing w:before="0" w:after="80"/>
        <w:jc w:val="center"/>
      </w:pPr>
      <w:r>
        <w:rPr>
          <w:rFonts w:ascii="Arial" w:hAnsi="Arial"/>
          <w:b/>
          <w:i w:val="0"/>
          <w:color w:val="1A1A2E"/>
          <w:sz w:val="26"/>
        </w:rPr>
        <w:t>PART THREE</w:t>
      </w:r>
    </w:p>
    <w:p>
      <w:pPr>
        <w:spacing w:before="0" w:after="120"/>
        <w:jc w:val="center"/>
      </w:pPr>
      <w:r>
        <w:rPr>
          <w:rFonts w:ascii="Arial" w:hAnsi="Arial"/>
          <w:b/>
          <w:i w:val="0"/>
          <w:color w:val="222244"/>
          <w:sz w:val="22"/>
        </w:rPr>
        <w:t>READY-TO-USE ASSERTION FRAMEWORKS</w:t>
      </w:r>
    </w:p>
    <w:p>
      <w:pPr>
        <w:spacing w:before="160" w:after="80"/>
        <w:jc w:val="center"/>
      </w:pPr>
      <w:r>
        <w:rPr>
          <w:rFonts w:ascii="Arial" w:hAnsi="Arial"/>
          <w:b/>
          <w:i w:val="0"/>
          <w:color w:val="1A1A2E"/>
          <w:sz w:val="22"/>
        </w:rPr>
        <w:t>FRAMEWORK ONE: CEASE AND DESIST TO DEBT COLLECTOR</w:t>
      </w:r>
    </w:p>
    <w:p>
      <w:pPr>
        <w:spacing w:before="40" w:after="80"/>
        <w:jc w:val="center"/>
        <w:pBdr>
          <w:bottom w:val="single" w:sz="3" w:space="1" w:color="444466"/>
        </w:pBdr>
      </w:pPr>
    </w:p>
    <w:p>
      <w:pPr>
        <w:spacing w:before="0" w:after="100"/>
        <w:ind w:left="432" w:right="432"/>
        <w:jc w:val="both"/>
      </w:pPr>
      <w:r>
        <w:rPr>
          <w:rFonts w:ascii="Arial" w:hAnsi="Arial"/>
          <w:b w:val="0"/>
          <w:i/>
          <w:color w:val="222244"/>
          <w:sz w:val="21"/>
        </w:rPr>
        <w:t>[DATE]</w:t>
      </w:r>
    </w:p>
    <w:p>
      <w:pPr>
        <w:spacing w:before="0" w:after="100"/>
        <w:ind w:left="432" w:right="432"/>
        <w:jc w:val="both"/>
      </w:pPr>
      <w:r>
        <w:rPr>
          <w:rFonts w:ascii="Arial" w:hAnsi="Arial"/>
          <w:b w:val="0"/>
          <w:i/>
          <w:color w:val="222244"/>
          <w:sz w:val="21"/>
        </w:rPr>
        <w:t>[DEBT COLLECTOR NAME AND ADDRESS]</w:t>
      </w:r>
    </w:p>
    <w:p>
      <w:pPr>
        <w:spacing w:before="0" w:after="100"/>
        <w:ind w:left="432" w:right="432"/>
        <w:jc w:val="both"/>
      </w:pPr>
      <w:r>
        <w:rPr>
          <w:rFonts w:ascii="Arial" w:hAnsi="Arial"/>
          <w:b w:val="0"/>
          <w:i/>
          <w:color w:val="222244"/>
          <w:sz w:val="21"/>
        </w:rPr>
        <w:t>Sent via Certified Mail, Return Receipt Requested</w:t>
      </w:r>
    </w:p>
    <w:p>
      <w:pPr>
        <w:spacing w:before="0" w:after="100"/>
        <w:ind w:left="432" w:right="432"/>
        <w:jc w:val="both"/>
      </w:pPr>
      <w:r>
        <w:rPr>
          <w:rFonts w:ascii="Arial" w:hAnsi="Arial"/>
          <w:b w:val="0"/>
          <w:i/>
          <w:color w:val="222244"/>
          <w:sz w:val="21"/>
        </w:rPr>
        <w:t>Re: Cease and Desist All Collection Communications | Account: [ACCOUNT NUMBER IF KNOWN]</w:t>
      </w:r>
    </w:p>
    <w:p>
      <w:pPr>
        <w:spacing w:before="0" w:after="100"/>
        <w:ind w:left="432" w:right="432"/>
        <w:jc w:val="both"/>
      </w:pPr>
      <w:r>
        <w:rPr>
          <w:rFonts w:ascii="Arial" w:hAnsi="Arial"/>
          <w:b w:val="0"/>
          <w:i/>
          <w:color w:val="222244"/>
          <w:sz w:val="21"/>
        </w:rPr>
        <w:t>To Whom It May Concern:</w:t>
      </w:r>
    </w:p>
    <w:p>
      <w:pPr>
        <w:spacing w:before="0" w:after="100"/>
        <w:ind w:left="432" w:right="432"/>
        <w:jc w:val="both"/>
      </w:pPr>
      <w:r>
        <w:rPr>
          <w:rFonts w:ascii="Arial" w:hAnsi="Arial"/>
          <w:b w:val="0"/>
          <w:i/>
          <w:color w:val="222244"/>
          <w:sz w:val="21"/>
        </w:rPr>
        <w:t>Pursuant to the Fair Debt Collection Practices Act, 15 U.S.C. section 1692c(c), you are hereby notified to CEASE AND DESIST all further communication with me regarding the above-referenced account. This notice is effective immediately upon your receipt of this letter.</w:t>
      </w:r>
    </w:p>
    <w:p>
      <w:pPr>
        <w:spacing w:before="0" w:after="100"/>
        <w:ind w:left="432" w:right="432"/>
        <w:jc w:val="both"/>
      </w:pPr>
      <w:r>
        <w:rPr>
          <w:rFonts w:ascii="Arial" w:hAnsi="Arial"/>
          <w:b w:val="0"/>
          <w:i/>
          <w:color w:val="222244"/>
          <w:sz w:val="21"/>
        </w:rPr>
        <w:t>Any further communication from your agency, except to notify me that you are ceasing collection efforts or to notify me of a specific legal action, will constitute a willful violation of the FDCPA and will subject your agency to statutory damages of up to $1,000 per violation plus actual damages and attorney fees. 15 U.S.C. section 1692k.</w:t>
      </w:r>
    </w:p>
    <w:p>
      <w:pPr>
        <w:spacing w:before="0" w:after="100"/>
        <w:ind w:left="432" w:right="432"/>
        <w:jc w:val="both"/>
      </w:pPr>
      <w:r>
        <w:rPr>
          <w:rFonts w:ascii="Arial" w:hAnsi="Arial"/>
          <w:b w:val="0"/>
          <w:i/>
          <w:color w:val="222244"/>
          <w:sz w:val="21"/>
        </w:rPr>
        <w:t>I also hereby dispute this debt in its entirety pursuant to 15 U.S.C. section 1692g and demand validation including: the name and address of the original creditor; the original amount of the debt; complete chain of title showing your agency's right to collect; and proof of licensure to collect debts in the State of Georgia.</w:t>
      </w:r>
    </w:p>
    <w:p>
      <w:pPr>
        <w:spacing w:before="0" w:after="100"/>
        <w:ind w:left="432" w:right="432"/>
        <w:jc w:val="both"/>
      </w:pPr>
      <w:r>
        <w:rPr>
          <w:rFonts w:ascii="Arial" w:hAnsi="Arial"/>
          <w:b w:val="0"/>
          <w:i/>
          <w:color w:val="222244"/>
          <w:sz w:val="21"/>
        </w:rPr>
        <w:t>Govern yourself accordingly.</w:t>
      </w:r>
    </w:p>
    <w:p>
      <w:pPr>
        <w:spacing w:before="0" w:after="100"/>
        <w:ind w:left="432" w:right="432"/>
        <w:jc w:val="both"/>
      </w:pPr>
      <w:r>
        <w:rPr>
          <w:rFonts w:ascii="Arial" w:hAnsi="Arial"/>
          <w:b w:val="0"/>
          <w:i/>
          <w:color w:val="222244"/>
          <w:sz w:val="21"/>
        </w:rPr>
        <w:t>[YOUR NAME] | [DATE] | [ADDRESS]</w:t>
      </w:r>
    </w:p>
    <w:p>
      <w:pPr>
        <w:spacing w:before="120" w:after="120"/>
        <w:jc w:val="center"/>
        <w:pBdr>
          <w:bottom w:val="single" w:sz="2" w:space="1" w:color="888888"/>
        </w:pBdr>
      </w:pPr>
    </w:p>
    <w:p>
      <w:pPr>
        <w:spacing w:before="160" w:after="80"/>
        <w:jc w:val="center"/>
      </w:pPr>
      <w:r>
        <w:rPr>
          <w:rFonts w:ascii="Arial" w:hAnsi="Arial"/>
          <w:b/>
          <w:i w:val="0"/>
          <w:color w:val="1A1A2E"/>
          <w:sz w:val="22"/>
        </w:rPr>
        <w:t>FRAMEWORK TWO: CREDIT DISCRIMINATION COMPLAINT LETTER</w:t>
      </w:r>
    </w:p>
    <w:p>
      <w:pPr>
        <w:spacing w:before="40" w:after="80"/>
        <w:jc w:val="center"/>
        <w:pBdr>
          <w:bottom w:val="single" w:sz="3" w:space="1" w:color="444466"/>
        </w:pBdr>
      </w:pPr>
    </w:p>
    <w:p>
      <w:pPr>
        <w:spacing w:before="0" w:after="100"/>
        <w:ind w:left="432" w:right="432"/>
        <w:jc w:val="both"/>
      </w:pPr>
      <w:r>
        <w:rPr>
          <w:rFonts w:ascii="Arial" w:hAnsi="Arial"/>
          <w:b w:val="0"/>
          <w:i/>
          <w:color w:val="222244"/>
          <w:sz w:val="21"/>
        </w:rPr>
        <w:t>[DATE]</w:t>
      </w:r>
    </w:p>
    <w:p>
      <w:pPr>
        <w:spacing w:before="0" w:after="100"/>
        <w:ind w:left="432" w:right="432"/>
        <w:jc w:val="both"/>
      </w:pPr>
      <w:r>
        <w:rPr>
          <w:rFonts w:ascii="Arial" w:hAnsi="Arial"/>
          <w:b w:val="0"/>
          <w:i/>
          <w:color w:val="222244"/>
          <w:sz w:val="21"/>
        </w:rPr>
        <w:t>[LENDER NAME AND ADDRESS]</w:t>
      </w:r>
    </w:p>
    <w:p>
      <w:pPr>
        <w:spacing w:before="0" w:after="100"/>
        <w:ind w:left="432" w:right="432"/>
        <w:jc w:val="both"/>
      </w:pPr>
      <w:r>
        <w:rPr>
          <w:rFonts w:ascii="Arial" w:hAnsi="Arial"/>
          <w:b w:val="0"/>
          <w:i/>
          <w:color w:val="222244"/>
          <w:sz w:val="21"/>
        </w:rPr>
        <w:t>Re: Formal Complaint of Credit Discrimination in Violation of the Equal Credit Opportunity Act, 15 U.S.C. section 1691, and 42 U.S.C. section 1981</w:t>
      </w:r>
    </w:p>
    <w:p>
      <w:pPr>
        <w:spacing w:before="0" w:after="100"/>
        <w:ind w:left="432" w:right="432"/>
        <w:jc w:val="both"/>
      </w:pPr>
      <w:r>
        <w:rPr>
          <w:rFonts w:ascii="Arial" w:hAnsi="Arial"/>
          <w:b w:val="0"/>
          <w:i/>
          <w:color w:val="222244"/>
          <w:sz w:val="21"/>
        </w:rPr>
        <w:t>To Whom It May Concern:</w:t>
      </w:r>
    </w:p>
    <w:p>
      <w:pPr>
        <w:spacing w:before="0" w:after="100"/>
        <w:ind w:left="432" w:right="432"/>
        <w:jc w:val="both"/>
      </w:pPr>
      <w:r>
        <w:rPr>
          <w:rFonts w:ascii="Arial" w:hAnsi="Arial"/>
          <w:b w:val="0"/>
          <w:i/>
          <w:color w:val="222244"/>
          <w:sz w:val="21"/>
        </w:rPr>
        <w:t>I am writing to formally complain that I have been subjected to racial discrimination in the credit transaction described below, in violation of the Equal Credit Opportunity Act and 42 U.S.C. section 1981.</w:t>
      </w:r>
    </w:p>
    <w:p>
      <w:pPr>
        <w:spacing w:before="0" w:after="100"/>
        <w:ind w:left="432" w:right="432"/>
        <w:jc w:val="both"/>
      </w:pPr>
      <w:r>
        <w:rPr>
          <w:rFonts w:ascii="Arial" w:hAnsi="Arial"/>
          <w:b w:val="0"/>
          <w:i/>
          <w:color w:val="222244"/>
          <w:sz w:val="21"/>
        </w:rPr>
        <w:t>Description of discriminatory action: [Describe what happened, when it happened, who was involved, and how you know or believe race was a factor. Include any comparative information about similarly situated applicants who received different treatment.]</w:t>
      </w:r>
    </w:p>
    <w:p>
      <w:pPr>
        <w:spacing w:before="0" w:after="100"/>
        <w:ind w:left="432" w:right="432"/>
        <w:jc w:val="both"/>
      </w:pPr>
      <w:r>
        <w:rPr>
          <w:rFonts w:ascii="Arial" w:hAnsi="Arial"/>
          <w:b w:val="0"/>
          <w:i/>
          <w:color w:val="222244"/>
          <w:sz w:val="21"/>
        </w:rPr>
        <w:t>I request the following: (1) A written explanation of all reasons for the credit decision, as required by ECOA; (2) A review of the credit decision by senior management; (3) Correction of the discriminatory action; (4) A written response within 30 days.</w:t>
      </w:r>
    </w:p>
    <w:p>
      <w:pPr>
        <w:spacing w:before="0" w:after="100"/>
        <w:ind w:left="432" w:right="432"/>
        <w:jc w:val="both"/>
      </w:pPr>
      <w:r>
        <w:rPr>
          <w:rFonts w:ascii="Arial" w:hAnsi="Arial"/>
          <w:b w:val="0"/>
          <w:i/>
          <w:color w:val="222244"/>
          <w:sz w:val="21"/>
        </w:rPr>
        <w:t>I am simultaneously filing complaints with the Consumer Financial Protection Bureau, the Federal Trade Commission, and the Georgia Department of Banking and Finance. If this matter is not resolved satisfactorily, I will pursue all available legal remedies including a private right of action under ECOA and 42 U.S.C. section 1981.</w:t>
      </w:r>
    </w:p>
    <w:p>
      <w:pPr>
        <w:spacing w:before="0" w:after="100"/>
        <w:ind w:left="432" w:right="432"/>
        <w:jc w:val="both"/>
      </w:pPr>
      <w:r>
        <w:rPr>
          <w:rFonts w:ascii="Arial" w:hAnsi="Arial"/>
          <w:b w:val="0"/>
          <w:i/>
          <w:color w:val="222244"/>
          <w:sz w:val="21"/>
        </w:rPr>
        <w:t>[YOUR NAME] | [DATE] | [CONTACT INFORMATION]</w:t>
      </w:r>
    </w:p>
    <w:p>
      <w:r>
        <w:br w:type="page"/>
      </w:r>
    </w:p>
    <w:p>
      <w:pPr>
        <w:spacing w:before="0" w:after="80"/>
        <w:jc w:val="center"/>
      </w:pPr>
      <w:r>
        <w:rPr>
          <w:rFonts w:ascii="Arial" w:hAnsi="Arial"/>
          <w:b/>
          <w:i w:val="0"/>
          <w:color w:val="1A1A2E"/>
          <w:sz w:val="26"/>
        </w:rPr>
        <w:t>PART FOUR</w:t>
      </w:r>
    </w:p>
    <w:p>
      <w:pPr>
        <w:spacing w:before="0" w:after="120"/>
        <w:jc w:val="center"/>
      </w:pPr>
      <w:r>
        <w:rPr>
          <w:rFonts w:ascii="Arial" w:hAnsi="Arial"/>
          <w:b/>
          <w:i w:val="0"/>
          <w:color w:val="222244"/>
          <w:sz w:val="22"/>
        </w:rPr>
        <w:t>COMPLETE TABLE OF LEGAL AUTHORITIES</w:t>
      </w:r>
    </w:p>
    <w:p>
      <w:pPr>
        <w:spacing w:before="200" w:after="60"/>
        <w:jc w:val="left"/>
      </w:pPr>
      <w:r>
        <w:rPr>
          <w:rFonts w:ascii="Arial" w:hAnsi="Arial"/>
          <w:b/>
          <w:i w:val="0"/>
          <w:color w:val="222244"/>
          <w:sz w:val="22"/>
        </w:rPr>
        <w:t>United States Supreme Court Cases</w:t>
      </w:r>
    </w:p>
    <w:p>
      <w:pPr>
        <w:pStyle w:val="ListBullet"/>
        <w:spacing w:after="60"/>
        <w:ind w:left="576"/>
      </w:pPr>
      <w:r>
        <w:rPr>
          <w:rFonts w:ascii="Arial" w:hAnsi="Arial"/>
          <w:sz w:val="21"/>
        </w:rPr>
        <w:t>Heintz v. Jenkins, 514 U.S. 291 (1995)</w:t>
      </w:r>
    </w:p>
    <w:p>
      <w:pPr>
        <w:pStyle w:val="ListBullet"/>
        <w:spacing w:after="60"/>
        <w:ind w:left="576"/>
      </w:pPr>
      <w:r>
        <w:rPr>
          <w:rFonts w:ascii="Arial" w:hAnsi="Arial"/>
          <w:sz w:val="21"/>
        </w:rPr>
        <w:t>Jones v. Alfred H. Mayer Co., 392 U.S. 409 (1968)</w:t>
      </w:r>
    </w:p>
    <w:p>
      <w:pPr>
        <w:pStyle w:val="ListBullet"/>
        <w:spacing w:after="60"/>
        <w:ind w:left="576"/>
      </w:pPr>
      <w:r>
        <w:rPr>
          <w:rFonts w:ascii="Arial" w:hAnsi="Arial"/>
          <w:sz w:val="21"/>
        </w:rPr>
        <w:t>Loper Bright Enterprises v. Raimondo, 603 U.S. ___ (2024)</w:t>
      </w:r>
    </w:p>
    <w:p>
      <w:pPr>
        <w:pStyle w:val="ListBullet"/>
        <w:spacing w:after="60"/>
        <w:ind w:left="576"/>
      </w:pPr>
      <w:r>
        <w:rPr>
          <w:rFonts w:ascii="Arial" w:hAnsi="Arial"/>
          <w:sz w:val="21"/>
        </w:rPr>
        <w:t>Runyon v. McCrary, 427 U.S. 160 (1976)</w:t>
      </w:r>
    </w:p>
    <w:p>
      <w:pPr>
        <w:pStyle w:val="ListBullet"/>
        <w:spacing w:after="60"/>
        <w:ind w:left="576"/>
      </w:pPr>
      <w:r>
        <w:rPr>
          <w:rFonts w:ascii="Arial" w:hAnsi="Arial"/>
          <w:sz w:val="21"/>
        </w:rPr>
        <w:t>Spokeo, Inc. v. Robins, 578 U.S. 330 (2016)</w:t>
      </w:r>
    </w:p>
    <w:p>
      <w:pPr>
        <w:pStyle w:val="ListBullet"/>
        <w:spacing w:after="60"/>
        <w:ind w:left="576"/>
      </w:pPr>
      <w:r>
        <w:rPr>
          <w:rFonts w:ascii="Arial" w:hAnsi="Arial"/>
          <w:sz w:val="21"/>
        </w:rPr>
        <w:t>TransUnion LLC v. Ramirez, 594 U.S. 413 (2021)</w:t>
      </w:r>
    </w:p>
    <w:p>
      <w:pPr>
        <w:spacing w:before="200" w:after="60"/>
        <w:jc w:val="left"/>
      </w:pPr>
      <w:r>
        <w:rPr>
          <w:rFonts w:ascii="Arial" w:hAnsi="Arial"/>
          <w:b/>
          <w:i w:val="0"/>
          <w:color w:val="222244"/>
          <w:sz w:val="22"/>
        </w:rPr>
        <w:t>Federal Statutes</w:t>
      </w:r>
    </w:p>
    <w:p>
      <w:pPr>
        <w:pStyle w:val="ListBullet"/>
        <w:spacing w:after="60"/>
        <w:ind w:left="576"/>
      </w:pPr>
      <w:r>
        <w:rPr>
          <w:rFonts w:ascii="Arial" w:hAnsi="Arial"/>
          <w:sz w:val="21"/>
        </w:rPr>
        <w:t>U.S. Const. amend. XIII (Badges and Incidents of Slavery)</w:t>
      </w:r>
    </w:p>
    <w:p>
      <w:pPr>
        <w:pStyle w:val="ListBullet"/>
        <w:spacing w:after="60"/>
        <w:ind w:left="576"/>
      </w:pPr>
      <w:r>
        <w:rPr>
          <w:rFonts w:ascii="Arial" w:hAnsi="Arial"/>
          <w:sz w:val="21"/>
        </w:rPr>
        <w:t>U.S. Const. amend. XIV (Equal Protection)</w:t>
      </w:r>
    </w:p>
    <w:p>
      <w:pPr>
        <w:pStyle w:val="ListBullet"/>
        <w:spacing w:after="60"/>
        <w:ind w:left="576"/>
      </w:pPr>
      <w:r>
        <w:rPr>
          <w:rFonts w:ascii="Arial" w:hAnsi="Arial"/>
          <w:sz w:val="21"/>
        </w:rPr>
        <w:t>42 U.S.C. section 1981 (Equal Rights Under the Law)</w:t>
      </w:r>
    </w:p>
    <w:p>
      <w:pPr>
        <w:pStyle w:val="ListBullet"/>
        <w:spacing w:after="60"/>
        <w:ind w:left="576"/>
      </w:pPr>
      <w:r>
        <w:rPr>
          <w:rFonts w:ascii="Arial" w:hAnsi="Arial"/>
          <w:sz w:val="21"/>
        </w:rPr>
        <w:t>42 U.S.C. section 1982 (Property Rights)</w:t>
      </w:r>
    </w:p>
    <w:p>
      <w:pPr>
        <w:pStyle w:val="ListBullet"/>
        <w:spacing w:after="60"/>
        <w:ind w:left="576"/>
      </w:pPr>
      <w:r>
        <w:rPr>
          <w:rFonts w:ascii="Arial" w:hAnsi="Arial"/>
          <w:sz w:val="21"/>
        </w:rPr>
        <w:t>Equal Credit Opportunity Act, 15 U.S.C. sections 1691 et seq.</w:t>
      </w:r>
    </w:p>
    <w:p>
      <w:pPr>
        <w:pStyle w:val="ListBullet"/>
        <w:spacing w:after="60"/>
        <w:ind w:left="576"/>
      </w:pPr>
      <w:r>
        <w:rPr>
          <w:rFonts w:ascii="Arial" w:hAnsi="Arial"/>
          <w:sz w:val="21"/>
        </w:rPr>
        <w:t>Fair Debt Collection Practices Act, 15 U.S.C. sections 1692 et seq.</w:t>
      </w:r>
    </w:p>
    <w:p>
      <w:pPr>
        <w:pStyle w:val="ListBullet"/>
        <w:spacing w:after="60"/>
        <w:ind w:left="576"/>
      </w:pPr>
      <w:r>
        <w:rPr>
          <w:rFonts w:ascii="Arial" w:hAnsi="Arial"/>
          <w:sz w:val="21"/>
        </w:rPr>
        <w:t>Fair Credit Reporting Act, 15 U.S.C. sections 1681 et seq.</w:t>
      </w:r>
    </w:p>
    <w:p>
      <w:pPr>
        <w:pStyle w:val="ListBullet"/>
        <w:spacing w:after="60"/>
        <w:ind w:left="576"/>
      </w:pPr>
      <w:r>
        <w:rPr>
          <w:rFonts w:ascii="Arial" w:hAnsi="Arial"/>
          <w:sz w:val="21"/>
        </w:rPr>
        <w:t>Fair Housing Act, 42 U.S.C. sections 3601 et seq.</w:t>
      </w:r>
    </w:p>
    <w:p>
      <w:pPr>
        <w:pStyle w:val="ListBullet"/>
        <w:spacing w:after="60"/>
        <w:ind w:left="576"/>
      </w:pPr>
      <w:r>
        <w:rPr>
          <w:rFonts w:ascii="Arial" w:hAnsi="Arial"/>
          <w:sz w:val="21"/>
        </w:rPr>
        <w:t>Small Business Act, 15 U.S.C. sections 631 et seq.</w:t>
      </w:r>
    </w:p>
    <w:p>
      <w:pPr>
        <w:spacing w:before="200" w:after="60"/>
        <w:jc w:val="left"/>
      </w:pPr>
      <w:r>
        <w:rPr>
          <w:rFonts w:ascii="Arial" w:hAnsi="Arial"/>
          <w:b/>
          <w:i w:val="0"/>
          <w:color w:val="222244"/>
          <w:sz w:val="22"/>
        </w:rPr>
        <w:t>Georgia Law</w:t>
      </w:r>
    </w:p>
    <w:p>
      <w:pPr>
        <w:pStyle w:val="ListBullet"/>
        <w:spacing w:after="60"/>
        <w:ind w:left="576"/>
      </w:pPr>
      <w:r>
        <w:rPr>
          <w:rFonts w:ascii="Arial" w:hAnsi="Arial"/>
          <w:sz w:val="21"/>
        </w:rPr>
        <w:t>Georgia Fair Business Practices Act, O.C.G.A. sections 10-1-390 et seq.</w:t>
      </w:r>
    </w:p>
    <w:p>
      <w:pPr>
        <w:pStyle w:val="ListBullet"/>
        <w:spacing w:after="60"/>
        <w:ind w:left="576"/>
      </w:pPr>
      <w:r>
        <w:rPr>
          <w:rFonts w:ascii="Arial" w:hAnsi="Arial"/>
          <w:sz w:val="21"/>
        </w:rPr>
        <w:t>Georgia Uniform Deceptive Trade Practices Act, O.C.G.A. sections 10-1-370 et seq.</w:t>
      </w:r>
    </w:p>
    <w:p>
      <w:pPr>
        <w:pStyle w:val="ListBullet"/>
        <w:spacing w:after="60"/>
        <w:ind w:left="576"/>
      </w:pPr>
      <w:r>
        <w:rPr>
          <w:rFonts w:ascii="Arial" w:hAnsi="Arial"/>
          <w:sz w:val="21"/>
        </w:rPr>
        <w:t>Georgia Constitution, Art. I, Sec. I, Par. I (Due Process)</w:t>
      </w:r>
    </w:p>
    <w:p>
      <w:pPr>
        <w:spacing w:before="120" w:after="120"/>
        <w:jc w:val="center"/>
        <w:pBdr>
          <w:bottom w:val="single" w:sz="2" w:space="1" w:color="888888"/>
        </w:pBdr>
      </w:pPr>
    </w:p>
    <w:p>
      <w:pPr>
        <w:spacing w:before="80" w:after="0"/>
        <w:jc w:val="center"/>
      </w:pPr>
      <w:r>
        <w:rPr>
          <w:rFonts w:ascii="Arial" w:hAnsi="Arial"/>
          <w:b w:val="0"/>
          <w:i/>
          <w:color w:val="555577"/>
          <w:sz w:val="21"/>
        </w:rPr>
        <w:t>Toolkit Five of the Sovereign Self Legal Defense Series. Not a substitute for licensed legal counsel. May be reproduced and shared freely.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