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val="0"/>
          <w:i w:val="0"/>
          <w:color w:val="555577"/>
          <w:sz w:val="22"/>
        </w:rPr>
        <w:t>TOOLKIT ONE</w:t>
      </w:r>
    </w:p>
    <w:p>
      <w:pPr>
        <w:spacing w:before="0" w:after="40"/>
        <w:jc w:val="center"/>
      </w:pPr>
      <w:r>
        <w:rPr>
          <w:rFonts w:ascii="Arial" w:hAnsi="Arial"/>
          <w:b/>
          <w:i w:val="0"/>
          <w:color w:val="1A1A2E"/>
          <w:sz w:val="30"/>
        </w:rPr>
        <w:t>UNLAWFUL STOP AND DETENTION</w:t>
      </w:r>
    </w:p>
    <w:p>
      <w:pPr>
        <w:spacing w:before="0" w:after="40"/>
        <w:jc w:val="center"/>
      </w:pPr>
      <w:r>
        <w:rPr>
          <w:rFonts w:ascii="Arial" w:hAnsi="Arial"/>
          <w:b w:val="0"/>
          <w:i/>
          <w:color w:val="222244"/>
          <w:sz w:val="22"/>
        </w:rPr>
        <w:t>A Legal Defense Guide for the Living Being</w:t>
      </w:r>
    </w:p>
    <w:p>
      <w:pPr>
        <w:spacing w:before="80" w:after="80"/>
        <w:jc w:val="center"/>
        <w:pBdr>
          <w:bottom w:val="single" w:sz="8" w:space="1" w:color="1a1a2e"/>
        </w:pBdr>
      </w:pPr>
    </w:p>
    <w:p>
      <w:pPr>
        <w:spacing w:before="80" w:after="40"/>
        <w:jc w:val="center"/>
      </w:pPr>
      <w:r>
        <w:rPr>
          <w:rFonts w:ascii="Arial" w:hAnsi="Arial"/>
          <w:b w:val="0"/>
          <w:i w:val="0"/>
          <w:color w:val="555577"/>
          <w:sz w:val="20"/>
        </w:rPr>
        <w:t>Rickey Allan Howard  |  Athens, Georgia  |  March 19, 2026</w:t>
      </w:r>
    </w:p>
    <w:p>
      <w:pPr>
        <w:spacing w:before="0" w:after="40"/>
        <w:jc w:val="center"/>
      </w:pPr>
      <w:r>
        <w:rPr>
          <w:rFonts w:ascii="Arial" w:hAnsi="Arial"/>
          <w:b w:val="0"/>
          <w:i/>
          <w:color w:val="555577"/>
          <w:sz w:val="18"/>
        </w:rPr>
        <w:t>Part of the Sovereign Self Legal Defense Series</w:t>
      </w:r>
    </w:p>
    <w:p>
      <w:pPr>
        <w:spacing w:before="0" w:after="160"/>
        <w:jc w:val="center"/>
      </w:pPr>
      <w:r>
        <w:rPr>
          <w:rFonts w:ascii="Arial" w:hAnsi="Arial"/>
          <w:b w:val="0"/>
          <w:i/>
          <w:color w:val="555577"/>
          <w:sz w:val="18"/>
        </w:rPr>
        <w:t>Grounded in: The Doctrine of Pre-Political Sovereign Being</w:t>
      </w:r>
    </w:p>
    <w:p>
      <w:pPr>
        <w:spacing w:before="40" w:after="120"/>
        <w:jc w:val="center"/>
        <w:pBdr>
          <w:bottom w:val="single" w:sz="4" w:space="1" w:color="1a1a2e"/>
        </w:pBdr>
      </w:pPr>
    </w:p>
    <w:p>
      <w:pPr>
        <w:spacing w:before="40" w:after="80"/>
        <w:jc w:val="center"/>
      </w:pPr>
      <w:r>
        <w:rPr>
          <w:rFonts w:ascii="Arial" w:hAnsi="Arial"/>
          <w:b/>
          <w:i w:val="0"/>
          <w:color w:val="1A1A2E"/>
          <w:sz w:val="20"/>
        </w:rPr>
        <w:t>HOW TO USE THIS DOCUMENT</w:t>
      </w:r>
    </w:p>
    <w:p>
      <w:pPr>
        <w:spacing w:before="40" w:after="160"/>
        <w:jc w:val="both"/>
      </w:pPr>
      <w:r>
        <w:rPr>
          <w:rFonts w:ascii="Arial" w:hAnsi="Arial"/>
          <w:b w:val="0"/>
          <w:i w:val="0"/>
          <w:color w:val="000000"/>
          <w:sz w:val="21"/>
        </w:rPr>
        <w:t>This document has two parts. Part One is what you say and do during an encounter with law enforcement, written in plain language with exact words you can use. Part Two is the legal foundation behind every right in Part One, written in legal language for use in any subsequent court proceeding. Carry both parts. Know Part One by heart. Present Part Two if you are taken to court, file a complaint, or need to assert your rights in writing after the encounter.</w:t>
      </w:r>
    </w:p>
    <w:p>
      <w:r>
        <w:br w:type="page"/>
      </w:r>
    </w:p>
    <w:p>
      <w:pPr>
        <w:spacing w:before="0" w:after="80"/>
        <w:jc w:val="center"/>
      </w:pPr>
      <w:r>
        <w:rPr>
          <w:rFonts w:ascii="Arial" w:hAnsi="Arial"/>
          <w:b/>
          <w:i w:val="0"/>
          <w:color w:val="1A1A2E"/>
          <w:sz w:val="26"/>
        </w:rPr>
        <w:t>PART ONE</w:t>
      </w:r>
    </w:p>
    <w:p>
      <w:pPr>
        <w:spacing w:before="0" w:after="120"/>
        <w:jc w:val="center"/>
      </w:pPr>
      <w:r>
        <w:rPr>
          <w:rFonts w:ascii="Arial" w:hAnsi="Arial"/>
          <w:b/>
          <w:i w:val="0"/>
          <w:color w:val="222244"/>
          <w:sz w:val="22"/>
        </w:rPr>
        <w:t>WHAT TO SAY AND DO DURING THE ENCOUNTER</w:t>
      </w:r>
    </w:p>
    <w:p>
      <w:pPr>
        <w:spacing w:before="280" w:after="80"/>
        <w:jc w:val="left"/>
        <w:pBdr>
          <w:bottom w:val="single" w:sz="4" w:space="1" w:color="1a1a2e"/>
        </w:pBdr>
      </w:pPr>
      <w:r>
        <w:rPr>
          <w:rFonts w:ascii="Arial" w:hAnsi="Arial"/>
          <w:b/>
          <w:i w:val="0"/>
          <w:color w:val="1A1A2E"/>
          <w:sz w:val="24"/>
        </w:rPr>
        <w:t>THE FIVE GOLDEN RULES</w:t>
      </w:r>
    </w:p>
    <w:p>
      <w:pPr>
        <w:spacing w:before="0" w:after="160"/>
        <w:jc w:val="both"/>
      </w:pPr>
      <w:r>
        <w:rPr>
          <w:rFonts w:ascii="Arial" w:hAnsi="Arial"/>
          <w:b w:val="0"/>
          <w:i w:val="0"/>
          <w:color w:val="000000"/>
          <w:sz w:val="21"/>
        </w:rPr>
        <w:t>Before anything else, commit these five rules to memory. They apply in every encounter with law enforcement regardless of the circumstances.</w:t>
      </w:r>
    </w:p>
    <w:p>
      <w:pPr>
        <w:spacing w:before="120" w:after="40"/>
        <w:ind w:left="144"/>
        <w:jc w:val="left"/>
      </w:pPr>
      <w:r>
        <w:rPr>
          <w:rFonts w:ascii="Arial" w:hAnsi="Arial"/>
          <w:b/>
          <w:i w:val="0"/>
          <w:color w:val="1A1A2E"/>
          <w:sz w:val="22"/>
        </w:rPr>
        <w:t xml:space="preserve">1.  STAY CALM.  </w:t>
      </w:r>
      <w:r>
        <w:rPr>
          <w:rFonts w:ascii="Arial" w:hAnsi="Arial"/>
          <w:b w:val="0"/>
          <w:i w:val="0"/>
          <w:color w:val="000000"/>
          <w:sz w:val="21"/>
        </w:rPr>
        <w:t>Your demeanor is your first defense. Calm, clear, and controlled. Nothing you say in anger helps you. Everything you say calmly and clearly protects you.</w:t>
      </w:r>
    </w:p>
    <w:p>
      <w:pPr>
        <w:spacing w:before="120" w:after="40"/>
        <w:ind w:left="144"/>
        <w:jc w:val="left"/>
      </w:pPr>
      <w:r>
        <w:rPr>
          <w:rFonts w:ascii="Arial" w:hAnsi="Arial"/>
          <w:b/>
          <w:i w:val="0"/>
          <w:color w:val="1A1A2E"/>
          <w:sz w:val="22"/>
        </w:rPr>
        <w:t xml:space="preserve">2.  DO NOT PHYSICALLY RESIST.  </w:t>
      </w:r>
      <w:r>
        <w:rPr>
          <w:rFonts w:ascii="Arial" w:hAnsi="Arial"/>
          <w:b w:val="0"/>
          <w:i w:val="0"/>
          <w:color w:val="000000"/>
          <w:sz w:val="21"/>
        </w:rPr>
        <w:t>Even if the stop is unlawful, physical resistance creates new legal problems. Assert your rights with words. Challenge the stop in court, not in the street.</w:t>
      </w:r>
    </w:p>
    <w:p>
      <w:pPr>
        <w:spacing w:before="120" w:after="40"/>
        <w:ind w:left="144"/>
        <w:jc w:val="left"/>
      </w:pPr>
      <w:r>
        <w:rPr>
          <w:rFonts w:ascii="Arial" w:hAnsi="Arial"/>
          <w:b/>
          <w:i w:val="0"/>
          <w:color w:val="1A1A2E"/>
          <w:sz w:val="22"/>
        </w:rPr>
        <w:t xml:space="preserve">3.  INVOKE YOUR RIGHTS OUT LOUD.  </w:t>
      </w:r>
      <w:r>
        <w:rPr>
          <w:rFonts w:ascii="Arial" w:hAnsi="Arial"/>
          <w:b w:val="0"/>
          <w:i w:val="0"/>
          <w:color w:val="000000"/>
          <w:sz w:val="21"/>
        </w:rPr>
        <w:t>Rights you do not invoke may be treated as waived. Say the words. This document gives you the exact words.</w:t>
      </w:r>
    </w:p>
    <w:p>
      <w:pPr>
        <w:spacing w:before="120" w:after="40"/>
        <w:ind w:left="144"/>
        <w:jc w:val="left"/>
      </w:pPr>
      <w:r>
        <w:rPr>
          <w:rFonts w:ascii="Arial" w:hAnsi="Arial"/>
          <w:b/>
          <w:i w:val="0"/>
          <w:color w:val="1A1A2E"/>
          <w:sz w:val="22"/>
        </w:rPr>
        <w:t xml:space="preserve">4.  DO NOT CONSENT TO ANYTHING.  </w:t>
      </w:r>
      <w:r>
        <w:rPr>
          <w:rFonts w:ascii="Arial" w:hAnsi="Arial"/>
          <w:b w:val="0"/>
          <w:i w:val="0"/>
          <w:color w:val="000000"/>
          <w:sz w:val="21"/>
        </w:rPr>
        <w:t>Do not consent to a search. Do not answer questions beyond identifying yourself where required. Do not volunteer information.</w:t>
      </w:r>
    </w:p>
    <w:p>
      <w:pPr>
        <w:spacing w:before="120" w:after="40"/>
        <w:ind w:left="144"/>
        <w:jc w:val="left"/>
      </w:pPr>
      <w:r>
        <w:rPr>
          <w:rFonts w:ascii="Arial" w:hAnsi="Arial"/>
          <w:b/>
          <w:i w:val="0"/>
          <w:color w:val="1A1A2E"/>
          <w:sz w:val="22"/>
        </w:rPr>
        <w:t xml:space="preserve">5.  DOCUMENT EVERYTHING AFTER.  </w:t>
      </w:r>
      <w:r>
        <w:rPr>
          <w:rFonts w:ascii="Arial" w:hAnsi="Arial"/>
          <w:b w:val="0"/>
          <w:i w:val="0"/>
          <w:color w:val="000000"/>
          <w:sz w:val="21"/>
        </w:rPr>
        <w:t>As soon as you are safe, write down every detail: officer name, badge number, location, time, exact words spoken, witnesses present. This is your evidence.</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PHASE 1: THE MOMENT OF CONTACT</w:t>
      </w:r>
    </w:p>
    <w:p>
      <w:pPr>
        <w:spacing w:before="200" w:after="60"/>
        <w:jc w:val="left"/>
      </w:pPr>
      <w:r>
        <w:rPr>
          <w:rFonts w:ascii="Arial" w:hAnsi="Arial"/>
          <w:b/>
          <w:i w:val="0"/>
          <w:color w:val="222244"/>
          <w:sz w:val="22"/>
        </w:rPr>
        <w:t>The First Question You Ask</w:t>
      </w:r>
    </w:p>
    <w:p>
      <w:pPr>
        <w:spacing w:before="0" w:after="160"/>
        <w:jc w:val="both"/>
      </w:pPr>
      <w:r>
        <w:rPr>
          <w:rFonts w:ascii="Arial" w:hAnsi="Arial"/>
          <w:b w:val="0"/>
          <w:i w:val="0"/>
          <w:color w:val="000000"/>
          <w:sz w:val="21"/>
        </w:rPr>
        <w:t>The moment an officer approaches you, before anything else, you need to know whether you are free to leave. This question determines everything. If you are free to leave, you may leave calmly and without another word. If you are not free to leave, you have been seized under the Fourth Amendment and all of your constitutional protections are now fully in effect.</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Officer, am I free to go?</w:t>
      </w:r>
    </w:p>
    <w:p>
      <w:pPr>
        <w:spacing w:before="80" w:after="120"/>
        <w:jc w:val="both"/>
      </w:pPr>
      <w:r>
        <w:rPr>
          <w:rFonts w:ascii="Arial" w:hAnsi="Arial"/>
          <w:b w:val="0"/>
          <w:i w:val="0"/>
          <w:color w:val="000000"/>
          <w:sz w:val="21"/>
        </w:rPr>
        <w:t>Say nothing else until the officer answers this question. Wait.</w:t>
      </w:r>
    </w:p>
    <w:p>
      <w:pPr>
        <w:spacing w:before="200" w:after="60"/>
        <w:jc w:val="left"/>
      </w:pPr>
      <w:r>
        <w:rPr>
          <w:rFonts w:ascii="Arial" w:hAnsi="Arial"/>
          <w:b/>
          <w:i w:val="0"/>
          <w:color w:val="004D00"/>
          <w:sz w:val="22"/>
        </w:rPr>
        <w:t>If the Officer Says YES</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Thank you. Have a good day.</w:t>
      </w:r>
    </w:p>
    <w:p>
      <w:pPr>
        <w:spacing w:before="80" w:after="120"/>
        <w:jc w:val="both"/>
      </w:pPr>
      <w:r>
        <w:rPr>
          <w:rFonts w:ascii="Arial" w:hAnsi="Arial"/>
          <w:b w:val="0"/>
          <w:i w:val="0"/>
          <w:color w:val="000000"/>
          <w:sz w:val="21"/>
        </w:rPr>
        <w:t>Then leave. Calmly and directly. Do not run. Do not look back. Document everything as soon as you are safe.</w:t>
      </w:r>
    </w:p>
    <w:p>
      <w:pPr>
        <w:spacing w:before="200" w:after="60"/>
        <w:jc w:val="left"/>
      </w:pPr>
      <w:r>
        <w:rPr>
          <w:rFonts w:ascii="Arial" w:hAnsi="Arial"/>
          <w:b/>
          <w:i w:val="0"/>
          <w:color w:val="8B0000"/>
          <w:sz w:val="22"/>
        </w:rPr>
        <w:t>If the Officer Says NO or Does Not Answer</w:t>
      </w:r>
    </w:p>
    <w:p>
      <w:pPr>
        <w:spacing w:before="80" w:after="80"/>
        <w:jc w:val="both"/>
      </w:pPr>
      <w:r>
        <w:rPr>
          <w:rFonts w:ascii="Arial" w:hAnsi="Arial"/>
          <w:b w:val="0"/>
          <w:i w:val="0"/>
          <w:color w:val="000000"/>
          <w:sz w:val="21"/>
        </w:rPr>
        <w:t>You are now legally seized. The Fourth Amendment applies fully. Proceed to Phase 2.</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Florida v. Bostick, 501 U.S. 429 (1991): A person is seized within the meaning of the Fourth Amendment when, by means of physical force or a show of authority, their freedom of movement is restrained. Terry v. Ohio, 392 U.S. 1 (1968): A lawful investigative stop requires reasonable articulable suspicion specific to the individual.</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PHASE 2: DURING THE STOP</w:t>
      </w:r>
    </w:p>
    <w:p>
      <w:pPr>
        <w:spacing w:before="200" w:after="60"/>
        <w:jc w:val="left"/>
      </w:pPr>
      <w:r>
        <w:rPr>
          <w:rFonts w:ascii="Arial" w:hAnsi="Arial"/>
          <w:b/>
          <w:i w:val="0"/>
          <w:color w:val="222244"/>
          <w:sz w:val="22"/>
        </w:rPr>
        <w:t>Assert Your Rights Immediately</w:t>
      </w:r>
    </w:p>
    <w:p>
      <w:pPr>
        <w:spacing w:before="0" w:after="120"/>
        <w:jc w:val="both"/>
      </w:pPr>
      <w:r>
        <w:rPr>
          <w:rFonts w:ascii="Arial" w:hAnsi="Arial"/>
          <w:b w:val="0"/>
          <w:i w:val="0"/>
          <w:color w:val="000000"/>
          <w:sz w:val="21"/>
        </w:rPr>
        <w:t>As soon as you know you are not free to leave, assert your rights clearly and calmly. Use these exact words:</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I do not consent to this stop. I am invoking my right to remain silent. I am invoking my right to an attorney.</w:t>
      </w:r>
    </w:p>
    <w:p>
      <w:pPr>
        <w:spacing w:before="80" w:after="120"/>
        <w:jc w:val="both"/>
      </w:pPr>
      <w:r>
        <w:rPr>
          <w:rFonts w:ascii="Arial" w:hAnsi="Arial"/>
          <w:b w:val="0"/>
          <w:i w:val="0"/>
          <w:color w:val="000000"/>
          <w:sz w:val="21"/>
        </w:rPr>
        <w:t>Then stop talking. You have said everything you need to say. Do not explain. Do not argue. Do not answer questions. Repeat these words calmly if the officer continues to question you.</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Fifth Amendment: No person shall be compelled in any criminal case to be a witness against himself. Berghuis v. Thompkins, 560 U.S. 370 (2010): You must explicitly invoke the right to remain silent. Saying 'I am invoking my right to remain silent' is the legally operative invocation.</w:t>
      </w:r>
    </w:p>
    <w:p>
      <w:pPr>
        <w:spacing w:before="200" w:after="60"/>
        <w:jc w:val="left"/>
      </w:pPr>
      <w:r>
        <w:rPr>
          <w:rFonts w:ascii="Arial" w:hAnsi="Arial"/>
          <w:b/>
          <w:i w:val="0"/>
          <w:color w:val="222244"/>
          <w:sz w:val="22"/>
        </w:rPr>
        <w:t>If the Officer Claims Reasonable Suspicion</w:t>
      </w:r>
    </w:p>
    <w:p>
      <w:pPr>
        <w:spacing w:before="0" w:after="120"/>
        <w:jc w:val="both"/>
      </w:pPr>
      <w:r>
        <w:rPr>
          <w:rFonts w:ascii="Arial" w:hAnsi="Arial"/>
          <w:b w:val="0"/>
          <w:i w:val="0"/>
          <w:color w:val="000000"/>
          <w:sz w:val="21"/>
        </w:rPr>
        <w:t>The officer must be able to articulate specific facts about you personally that give rise to suspicion of criminal activity. A hunch is not enough. Your race, your neighborhood, your clothing, or your presence in an area is not enough.</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Officer, what specific facts give you reasonable suspicion that I have committed, am committing, or am about to commit a crime?</w:t>
      </w:r>
    </w:p>
    <w:p>
      <w:pPr>
        <w:spacing w:before="80" w:after="120"/>
        <w:jc w:val="both"/>
      </w:pPr>
      <w:r>
        <w:rPr>
          <w:rFonts w:ascii="Arial" w:hAnsi="Arial"/>
          <w:b w:val="0"/>
          <w:i w:val="0"/>
          <w:color w:val="000000"/>
          <w:sz w:val="21"/>
        </w:rPr>
        <w:t>You are not required to help the officer build a case against you. This question puts the legal burden exactly where it belongs: on the officer to articulate facts, not assumptions.</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Terry v. Ohio, 392 U.S. 1 (1968): Reasonable suspicion requires specific, articulable facts. Illinois v. Wardlow, 528 U.S. 119 (2000): Presence in a high-crime area alone does not constitute reasonable suspicion. United States v. Sokolow, 490 U.S. 1 (1989): The totality of circumstances must point to criminal activity, not merely innocent behavior.</w:t>
      </w:r>
    </w:p>
    <w:p>
      <w:pPr>
        <w:spacing w:before="200" w:after="60"/>
        <w:jc w:val="left"/>
      </w:pPr>
      <w:r>
        <w:rPr>
          <w:rFonts w:ascii="Arial" w:hAnsi="Arial"/>
          <w:b/>
          <w:i w:val="0"/>
          <w:color w:val="222244"/>
          <w:sz w:val="22"/>
        </w:rPr>
        <w:t>If the Officer Asks for Identification</w:t>
      </w:r>
    </w:p>
    <w:p>
      <w:pPr>
        <w:spacing w:before="0" w:after="120"/>
        <w:jc w:val="both"/>
      </w:pPr>
      <w:r>
        <w:rPr>
          <w:rFonts w:ascii="Arial" w:hAnsi="Arial"/>
          <w:b w:val="0"/>
          <w:i w:val="0"/>
          <w:color w:val="000000"/>
          <w:sz w:val="21"/>
        </w:rPr>
        <w:t>Georgia law on identification: Under O.C.G.A. section 16-11-36, you are required to identify yourself to a law enforcement officer who has lawfully stopped you and who requests identification. This means you must provide your name. You are not required to produce a physical ID unless you are operating a motor vehicle. You are not required to answer any other questions.</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My name is Rickey Allan Howard. I am invoking my right to remain silent beyond identifying myself.</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Providing a false name is a criminal offense under Georgia law. Provide your real name only and nothing further.</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O.C.G.A. section 16-11-36 (Georgia Stop and Identify Statute): A person detained under reasonable suspicion must provide their name when requested. Hiibel v. Sixth Judicial District Court, 542 U.S. 177 (2004): States may require a person to identify themselves during a lawful Terry stop.</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PHASE 3: IF THE OFFICER ASKS TO SEARCH</w:t>
      </w:r>
    </w:p>
    <w:p>
      <w:pPr>
        <w:spacing w:before="0" w:after="120"/>
        <w:jc w:val="both"/>
      </w:pPr>
      <w:r>
        <w:rPr>
          <w:rFonts w:ascii="Arial" w:hAnsi="Arial"/>
          <w:b w:val="0"/>
          <w:i w:val="0"/>
          <w:color w:val="000000"/>
          <w:sz w:val="21"/>
        </w:rPr>
        <w:t>You have the right to refuse consent to any search of your person, your vehicle, or your belongings. Refusal cannot be used as grounds for arrest or as evidence of guilt. Say these exact words:</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I do not consent to any search.</w:t>
      </w:r>
    </w:p>
    <w:p>
      <w:pPr>
        <w:spacing w:before="80" w:after="120"/>
        <w:jc w:val="both"/>
      </w:pPr>
      <w:r>
        <w:rPr>
          <w:rFonts w:ascii="Arial" w:hAnsi="Arial"/>
          <w:b w:val="0"/>
          <w:i w:val="0"/>
          <w:color w:val="000000"/>
          <w:sz w:val="21"/>
        </w:rPr>
        <w:t>Say nothing else on this subject. If the officer searches anyway, do not physically resist. Continue to state clearly:</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I do not consent to this search. I am objecting for the record.</w:t>
      </w:r>
    </w:p>
    <w:p>
      <w:pPr>
        <w:spacing w:before="80" w:after="120"/>
        <w:jc w:val="both"/>
      </w:pPr>
      <w:r>
        <w:rPr>
          <w:rFonts w:ascii="Arial" w:hAnsi="Arial"/>
          <w:b w:val="0"/>
          <w:i w:val="0"/>
          <w:color w:val="000000"/>
          <w:sz w:val="21"/>
        </w:rPr>
        <w:t>This verbal objection preserves your Fourth Amendment claim even if the officer proceeds. It is your evidence for the suppression hearing.</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Schneckloth v. Bustamonte, 412 U.S. 218 (1973): Consent to search must be voluntary. Refusal to consent cannot be the basis for a search. United States v. Drayton, 536 U.S. 194 (2002): A person may refuse consent to search and that refusal must be respected absent a warrant or recognized exception.</w:t>
      </w:r>
    </w:p>
    <w:p>
      <w:pPr>
        <w:spacing w:before="200" w:after="60"/>
        <w:jc w:val="left"/>
      </w:pPr>
      <w:r>
        <w:rPr>
          <w:rFonts w:ascii="Arial" w:hAnsi="Arial"/>
          <w:b/>
          <w:i w:val="0"/>
          <w:color w:val="222244"/>
          <w:sz w:val="22"/>
        </w:rPr>
        <w:t>When the Officer Does NOT Need Your Consent</w:t>
      </w:r>
    </w:p>
    <w:p>
      <w:pPr>
        <w:spacing w:before="0" w:after="80"/>
        <w:jc w:val="both"/>
      </w:pPr>
      <w:r>
        <w:rPr>
          <w:rFonts w:ascii="Arial" w:hAnsi="Arial"/>
          <w:b w:val="0"/>
          <w:i w:val="0"/>
          <w:color w:val="000000"/>
          <w:sz w:val="21"/>
        </w:rPr>
        <w:t>An officer may search without your consent in the following specific circumstances. Know these so you understand when a search is lawful and when it is not:</w:t>
      </w:r>
    </w:p>
    <w:p>
      <w:pPr>
        <w:pStyle w:val="ListBullet"/>
        <w:spacing w:after="60"/>
        <w:ind w:left="576"/>
      </w:pPr>
      <w:r>
        <w:rPr>
          <w:rFonts w:ascii="Arial" w:hAnsi="Arial"/>
          <w:sz w:val="21"/>
        </w:rPr>
        <w:t>With a valid warrant signed by a judge describing the specific place to be searched and items to be seized.</w:t>
      </w:r>
    </w:p>
    <w:p>
      <w:pPr>
        <w:pStyle w:val="ListBullet"/>
        <w:spacing w:after="60"/>
        <w:ind w:left="576"/>
      </w:pPr>
      <w:r>
        <w:rPr>
          <w:rFonts w:ascii="Arial" w:hAnsi="Arial"/>
          <w:sz w:val="21"/>
        </w:rPr>
        <w:t>Search incident to a lawful arrest: if you are lawfully arrested, the officer may search your person and the area within your immediate control.</w:t>
      </w:r>
    </w:p>
    <w:p>
      <w:pPr>
        <w:pStyle w:val="ListBullet"/>
        <w:spacing w:after="60"/>
        <w:ind w:left="576"/>
      </w:pPr>
      <w:r>
        <w:rPr>
          <w:rFonts w:ascii="Arial" w:hAnsi="Arial"/>
          <w:sz w:val="21"/>
        </w:rPr>
        <w:t>Plain view: if contraband is in plain view of the officer who is lawfully present.</w:t>
      </w:r>
    </w:p>
    <w:p>
      <w:pPr>
        <w:pStyle w:val="ListBullet"/>
        <w:spacing w:after="60"/>
        <w:ind w:left="576"/>
      </w:pPr>
      <w:r>
        <w:rPr>
          <w:rFonts w:ascii="Arial" w:hAnsi="Arial"/>
          <w:sz w:val="21"/>
        </w:rPr>
        <w:t>Exigent circumstances: emergency situations where waiting for a warrant would result in destruction of evidence or imminent danger.</w:t>
      </w:r>
    </w:p>
    <w:p>
      <w:pPr>
        <w:pStyle w:val="ListBullet"/>
        <w:spacing w:after="60"/>
        <w:ind w:left="576"/>
      </w:pPr>
      <w:r>
        <w:rPr>
          <w:rFonts w:ascii="Arial" w:hAnsi="Arial"/>
          <w:sz w:val="21"/>
        </w:rPr>
        <w:t>Terry frisk: a limited pat-down of outer clothing for weapons only, if the officer has reasonable articulable suspicion that you are armed and dangerous. This does not authorize a full search.</w:t>
      </w:r>
    </w:p>
    <w:p>
      <w:pPr>
        <w:spacing w:before="120" w:after="120"/>
        <w:jc w:val="both"/>
      </w:pPr>
      <w:r>
        <w:rPr>
          <w:rFonts w:ascii="Arial" w:hAnsi="Arial"/>
          <w:b w:val="0"/>
          <w:i w:val="0"/>
          <w:color w:val="000000"/>
          <w:sz w:val="21"/>
        </w:rPr>
        <w:t>If none of these exceptions apply and the officer searches anyway, that search is unconstitutional and any evidence found may be suppressed. Document everything.</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Mapp v. Ohio, 367 U.S. 643 (1961): Evidence obtained through an unconstitutional search must be suppressed. This is the exclusionary rule. Arizona v. Gant, 556 U.S. 332 (2009): Search incident to arrest is limited and does not authorize unlimited vehicle searches.</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PHASE 4: IF YOU ARE ARRESTED</w:t>
      </w:r>
    </w:p>
    <w:p>
      <w:pPr>
        <w:spacing w:before="0" w:after="120"/>
        <w:jc w:val="both"/>
      </w:pPr>
      <w:r>
        <w:rPr>
          <w:rFonts w:ascii="Arial" w:hAnsi="Arial"/>
          <w:b w:val="0"/>
          <w:i w:val="0"/>
          <w:color w:val="000000"/>
          <w:sz w:val="21"/>
        </w:rPr>
        <w:t>If the officer places you under arrest, do not resist physically under any circumstances. Assert these rights immediately:</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I am invoking my right to remain silent. I am invoking my right to an attorney. I will not answer any questions without my attorney present.</w:t>
      </w:r>
    </w:p>
    <w:p>
      <w:pPr>
        <w:spacing w:before="80" w:after="120"/>
        <w:jc w:val="both"/>
      </w:pPr>
      <w:r>
        <w:rPr>
          <w:rFonts w:ascii="Arial" w:hAnsi="Arial"/>
          <w:b w:val="0"/>
          <w:i w:val="0"/>
          <w:color w:val="000000"/>
          <w:sz w:val="21"/>
        </w:rPr>
        <w:t>Then say nothing further to any officer, detective, or official until your attorney is present. This applies in the patrol car, at the station, in the holding cell, and at booking. Anywhere. Any time.</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Anything you say after arrest can and will be used against you. The Miranda warning is not required for every statement — only for custodial interrogation. Volunteering information is never protected. Silence is always your right.</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Miranda v. Arizona, 384 U.S. 436 (1966): Before custodial interrogation, officers must inform you of your right to remain silent and your right to an attorney. Invoking these rights must stop all questioning. Edwards v. Arizona, 451 U.S. 477 (1981): Once you invoke the right to an attorney, all interrogation must cease until an attorney is present.</w:t>
      </w:r>
    </w:p>
    <w:p>
      <w:pPr>
        <w:spacing w:before="200" w:after="60"/>
        <w:jc w:val="left"/>
      </w:pPr>
      <w:r>
        <w:rPr>
          <w:rFonts w:ascii="Arial" w:hAnsi="Arial"/>
          <w:b/>
          <w:i w:val="0"/>
          <w:color w:val="222244"/>
          <w:sz w:val="22"/>
        </w:rPr>
        <w:t>After Arrest: What to Document</w:t>
      </w:r>
    </w:p>
    <w:p>
      <w:pPr>
        <w:spacing w:before="0" w:after="80"/>
        <w:jc w:val="both"/>
      </w:pPr>
      <w:r>
        <w:rPr>
          <w:rFonts w:ascii="Arial" w:hAnsi="Arial"/>
          <w:b w:val="0"/>
          <w:i w:val="0"/>
          <w:color w:val="000000"/>
          <w:sz w:val="21"/>
        </w:rPr>
        <w:t>As soon as you are able, write down or have someone record:</w:t>
      </w:r>
    </w:p>
    <w:p>
      <w:pPr>
        <w:pStyle w:val="ListBullet"/>
        <w:spacing w:after="60"/>
        <w:ind w:left="576"/>
      </w:pPr>
      <w:r>
        <w:rPr>
          <w:rFonts w:ascii="Arial" w:hAnsi="Arial"/>
          <w:sz w:val="21"/>
        </w:rPr>
        <w:t>The arresting officer's name, badge number, and patrol car number</w:t>
      </w:r>
    </w:p>
    <w:p>
      <w:pPr>
        <w:pStyle w:val="ListBullet"/>
        <w:spacing w:after="60"/>
        <w:ind w:left="576"/>
      </w:pPr>
      <w:r>
        <w:rPr>
          <w:rFonts w:ascii="Arial" w:hAnsi="Arial"/>
          <w:sz w:val="21"/>
        </w:rPr>
        <w:t>The location, date, and exact time of the stop and arrest</w:t>
      </w:r>
    </w:p>
    <w:p>
      <w:pPr>
        <w:pStyle w:val="ListBullet"/>
        <w:spacing w:after="60"/>
        <w:ind w:left="576"/>
      </w:pPr>
      <w:r>
        <w:rPr>
          <w:rFonts w:ascii="Arial" w:hAnsi="Arial"/>
          <w:sz w:val="21"/>
        </w:rPr>
        <w:t>Every word spoken by the officer during the stop</w:t>
      </w:r>
    </w:p>
    <w:p>
      <w:pPr>
        <w:pStyle w:val="ListBullet"/>
        <w:spacing w:after="60"/>
        <w:ind w:left="576"/>
      </w:pPr>
      <w:r>
        <w:rPr>
          <w:rFonts w:ascii="Arial" w:hAnsi="Arial"/>
          <w:sz w:val="21"/>
        </w:rPr>
        <w:t>Every word you spoke in response</w:t>
      </w:r>
    </w:p>
    <w:p>
      <w:pPr>
        <w:pStyle w:val="ListBullet"/>
        <w:spacing w:after="60"/>
        <w:ind w:left="576"/>
      </w:pPr>
      <w:r>
        <w:rPr>
          <w:rFonts w:ascii="Arial" w:hAnsi="Arial"/>
          <w:sz w:val="21"/>
        </w:rPr>
        <w:t>The names and contact information of any witnesses</w:t>
      </w:r>
    </w:p>
    <w:p>
      <w:pPr>
        <w:pStyle w:val="ListBullet"/>
        <w:spacing w:after="60"/>
        <w:ind w:left="576"/>
      </w:pPr>
      <w:r>
        <w:rPr>
          <w:rFonts w:ascii="Arial" w:hAnsi="Arial"/>
          <w:sz w:val="21"/>
        </w:rPr>
        <w:t>Any visible injuries or use of force</w:t>
      </w:r>
    </w:p>
    <w:p>
      <w:pPr>
        <w:pStyle w:val="ListBullet"/>
        <w:spacing w:after="60"/>
        <w:ind w:left="576"/>
      </w:pPr>
      <w:r>
        <w:rPr>
          <w:rFonts w:ascii="Arial" w:hAnsi="Arial"/>
          <w:sz w:val="21"/>
        </w:rPr>
        <w:t>Whether your Miranda rights were read to you and at what point</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PHASE 5: YOUR RIGHT TO RECORD</w:t>
      </w:r>
    </w:p>
    <w:p>
      <w:pPr>
        <w:spacing w:before="0" w:after="120"/>
        <w:jc w:val="both"/>
      </w:pPr>
      <w:r>
        <w:rPr>
          <w:rFonts w:ascii="Arial" w:hAnsi="Arial"/>
          <w:b w:val="0"/>
          <w:i w:val="0"/>
          <w:color w:val="000000"/>
          <w:sz w:val="21"/>
        </w:rPr>
        <w:t>You have the constitutional right to record law enforcement officers performing their duties in any public space. This right is protected by the First Amendment. Exercise it whenever it is safe to do so.</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I am exercising my First Amendment right to record this encounter.</w:t>
      </w:r>
    </w:p>
    <w:p>
      <w:pPr>
        <w:spacing w:before="80" w:after="120"/>
        <w:jc w:val="both"/>
      </w:pPr>
      <w:r>
        <w:rPr>
          <w:rFonts w:ascii="Arial" w:hAnsi="Arial"/>
          <w:b w:val="0"/>
          <w:i w:val="0"/>
          <w:color w:val="000000"/>
          <w:sz w:val="21"/>
        </w:rPr>
        <w:t>Keep your phone visible. Keep recording. Do not interfere with the officer's actions while recording. If the officer orders you to stop recording, say:</w:t>
      </w:r>
    </w:p>
    <w:p>
      <w:pPr>
        <w:spacing w:before="80" w:after="40"/>
        <w:ind w:left="288"/>
        <w:jc w:val="left"/>
      </w:pPr>
      <w:r>
        <w:rPr>
          <w:rFonts w:ascii="Arial" w:hAnsi="Arial"/>
          <w:b/>
          <w:i w:val="0"/>
          <w:color w:val="004D00"/>
          <w:sz w:val="20"/>
        </w:rPr>
        <w:t xml:space="preserve">SAY THIS:  </w:t>
      </w:r>
      <w:r>
        <w:rPr>
          <w:rFonts w:ascii="Arial" w:hAnsi="Arial"/>
          <w:b w:val="0"/>
          <w:i/>
          <w:color w:val="222244"/>
          <w:sz w:val="21"/>
        </w:rPr>
        <w:t>I am not interfering. I am exercising my constitutional right to record.</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Do not delete recordings after an encounter. Back them up immediately to a secure location. These recordings are potential evidence.</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Glik v. Cunniffe, 655 F.3d 78 (1st Cir. 2011): The First Amendment protects the right to record police officers performing their duties in a public place. Multiple federal circuits have affirmed this right. Georgia has not enacted a law prohibiting the recording of law enforcement in public spaces.</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TWO</w:t>
      </w:r>
    </w:p>
    <w:p>
      <w:pPr>
        <w:spacing w:before="0" w:after="120"/>
        <w:jc w:val="center"/>
      </w:pPr>
      <w:r>
        <w:rPr>
          <w:rFonts w:ascii="Arial" w:hAnsi="Arial"/>
          <w:b/>
          <w:i w:val="0"/>
          <w:color w:val="222244"/>
          <w:sz w:val="22"/>
        </w:rPr>
        <w:t>THE LEGAL FOUNDATION: FOR COURT USE</w:t>
      </w:r>
    </w:p>
    <w:p>
      <w:pPr>
        <w:spacing w:before="0" w:after="160"/>
        <w:jc w:val="both"/>
      </w:pPr>
      <w:r>
        <w:rPr>
          <w:rFonts w:ascii="Arial" w:hAnsi="Arial"/>
          <w:b w:val="0"/>
          <w:i w:val="0"/>
          <w:color w:val="000000"/>
          <w:sz w:val="21"/>
        </w:rPr>
        <w:t>This section sets out the complete legal argument underlying the rights asserted in Part One. It is designed to be presented to a court, filed with a complaint, or submitted to any forum where the legality of a stop or detention is challenged. It draws from the Doctrine of Pre-Political Sovereign Being and from binding constitutional case law.</w:t>
      </w:r>
    </w:p>
    <w:p>
      <w:pPr>
        <w:spacing w:before="280" w:after="80"/>
        <w:jc w:val="left"/>
        <w:pBdr>
          <w:bottom w:val="single" w:sz="4" w:space="1" w:color="1a1a2e"/>
        </w:pBdr>
      </w:pPr>
      <w:r>
        <w:rPr>
          <w:rFonts w:ascii="Arial" w:hAnsi="Arial"/>
          <w:b/>
          <w:i w:val="0"/>
          <w:color w:val="1A1A2E"/>
          <w:sz w:val="24"/>
        </w:rPr>
        <w:t>THE SPIRITUAL DIMENSION OF PHYSICAL LIBERTY</w:t>
      </w:r>
    </w:p>
    <w:p>
      <w:pPr>
        <w:spacing w:before="0" w:after="120"/>
        <w:jc w:val="both"/>
      </w:pPr>
      <w:r>
        <w:rPr>
          <w:rFonts w:ascii="Arial" w:hAnsi="Arial"/>
          <w:b w:val="0"/>
          <w:i w:val="0"/>
          <w:color w:val="000000"/>
          <w:sz w:val="21"/>
        </w:rPr>
        <w:t>The physical liberty of the living being is not merely a procedural right created by statute. It is a pre-political, pre-constitutional reality. The living being's freedom of movement, freedom from physical restraint, and freedom to exist in public space without interference are expressions of the being's fundamental nature as an energetic expression of Divine Creation.</w:t>
      </w:r>
    </w:p>
    <w:p>
      <w:pPr>
        <w:spacing w:before="0" w:after="120"/>
        <w:jc w:val="both"/>
      </w:pPr>
      <w:r>
        <w:rPr>
          <w:rFonts w:ascii="Arial" w:hAnsi="Arial"/>
          <w:b w:val="0"/>
          <w:i w:val="0"/>
          <w:color w:val="000000"/>
          <w:sz w:val="21"/>
        </w:rPr>
        <w:t>Any interference with that physical liberty by an agent of the State implicates not only the Fourth, Fifth, and Fourteenth Amendments but also the First Amendment and the Religious Freedom Restoration Act. The sincerely held belief that the living being exists in sacred sovereignty, independent of State-created legal fictions, is documented across seven volumes of theological, philosophical, and scientific scholarship. Under United States v. Seeger, 380 U.S. 163 (1965), and Frazee v. Illinois Department of Employment Security, 489 U.S. 829 (1989), this belief is entitled to full First Amendment and RFRA protection.</w:t>
      </w:r>
    </w:p>
    <w:p>
      <w:pPr>
        <w:spacing w:before="0" w:after="120"/>
        <w:jc w:val="both"/>
      </w:pPr>
      <w:r>
        <w:rPr>
          <w:rFonts w:ascii="Arial" w:hAnsi="Arial"/>
          <w:b w:val="0"/>
          <w:i w:val="0"/>
          <w:color w:val="000000"/>
          <w:sz w:val="21"/>
        </w:rPr>
        <w:t>A racially motivated stop — a stop based on the color of a person's skin rather than on individualized articulable suspicion — does not merely violate the Fourth and Fourteenth Amendments. It violates the sacred dignity of the living being and constitutes a substantial burden on the exercise of the sincerely held belief that the living being exists in divine sovereignty. This RFRA claim is available in addition to, and independently of, the constitutional claims set out below.</w:t>
      </w:r>
    </w:p>
    <w:p>
      <w:pPr>
        <w:spacing w:before="280" w:after="80"/>
        <w:jc w:val="left"/>
        <w:pBdr>
          <w:bottom w:val="single" w:sz="4" w:space="1" w:color="1a1a2e"/>
        </w:pBdr>
      </w:pPr>
      <w:r>
        <w:rPr>
          <w:rFonts w:ascii="Arial" w:hAnsi="Arial"/>
          <w:b/>
          <w:i w:val="0"/>
          <w:color w:val="1A1A2E"/>
          <w:sz w:val="24"/>
        </w:rPr>
        <w:t>CONSTITUTIONAL CLAIMS ARISING FROM UNLAWFUL STOP OR DETENTION</w:t>
      </w:r>
    </w:p>
    <w:p>
      <w:pPr>
        <w:spacing w:before="200" w:after="60"/>
        <w:jc w:val="left"/>
      </w:pPr>
      <w:r>
        <w:rPr>
          <w:rFonts w:ascii="Arial" w:hAnsi="Arial"/>
          <w:b/>
          <w:i w:val="0"/>
          <w:color w:val="222244"/>
          <w:sz w:val="22"/>
        </w:rPr>
        <w:t>Claim One: Fourth Amendment Violation</w:t>
      </w:r>
    </w:p>
    <w:p>
      <w:pPr>
        <w:spacing w:before="0" w:after="120"/>
        <w:jc w:val="both"/>
      </w:pPr>
      <w:r>
        <w:rPr>
          <w:rFonts w:ascii="Arial" w:hAnsi="Arial"/>
          <w:b w:val="0"/>
          <w:i w:val="0"/>
          <w:color w:val="000000"/>
          <w:sz w:val="21"/>
        </w:rPr>
        <w:t>The Fourth Amendment to the United States Constitution guarantees the right of the people to be secure in their persons against unreasonable searches and seizures. A stop and detention without reasonable articulable suspicion specific to the individual is a per se unreasonable seizure in violation of the Fourth Amendment.</w:t>
      </w:r>
    </w:p>
    <w:p>
      <w:pPr>
        <w:spacing w:before="0" w:after="120"/>
        <w:jc w:val="both"/>
      </w:pPr>
      <w:r>
        <w:rPr>
          <w:rFonts w:ascii="Arial" w:hAnsi="Arial"/>
          <w:b w:val="0"/>
          <w:i w:val="0"/>
          <w:color w:val="000000"/>
          <w:sz w:val="21"/>
        </w:rPr>
        <w:t>The controlling standard: Terry v. Ohio, 392 U.S. 1 (1968), permits a brief investigative detention only when the officer has reasonable articulable suspicion based on specific facts that the person has been, is, or is about to be engaged in criminal activity. Race, neighborhood, clothing, or the officer's generalized suspicion does not meet this standard. Illinois v. Wardlow, 528 U.S. 119 (2000). The suspicion must be individualized. United States v. Sokolow, 490 U.S. 1 (1989).</w:t>
      </w:r>
    </w:p>
    <w:p>
      <w:pPr>
        <w:spacing w:before="0" w:after="120"/>
        <w:jc w:val="both"/>
      </w:pPr>
      <w:r>
        <w:rPr>
          <w:rFonts w:ascii="Arial" w:hAnsi="Arial"/>
          <w:b w:val="0"/>
          <w:i w:val="0"/>
          <w:color w:val="000000"/>
          <w:sz w:val="21"/>
        </w:rPr>
        <w:t>An arrest without probable cause violates the Fourth Amendment. Probable cause requires facts sufficient to warrant a prudent person to believe that the suspect has committed or is committing an offense. Dunaway v. New York, 442 U.S. 200 (1979). A stop that extends beyond its original justification without independent reasonable suspicion also violates the Fourth Amendment. Rodriguez v. United States, 575 U.S. 348 (2015).</w:t>
      </w:r>
    </w:p>
    <w:p>
      <w:pPr>
        <w:spacing w:before="200" w:after="60"/>
        <w:jc w:val="left"/>
      </w:pPr>
      <w:r>
        <w:rPr>
          <w:rFonts w:ascii="Arial" w:hAnsi="Arial"/>
          <w:b/>
          <w:i w:val="0"/>
          <w:color w:val="222244"/>
          <w:sz w:val="22"/>
        </w:rPr>
        <w:t>Claim Two: Fifth Amendment Violation</w:t>
      </w:r>
    </w:p>
    <w:p>
      <w:pPr>
        <w:spacing w:before="0" w:after="120"/>
        <w:jc w:val="both"/>
      </w:pPr>
      <w:r>
        <w:rPr>
          <w:rFonts w:ascii="Arial" w:hAnsi="Arial"/>
          <w:b w:val="0"/>
          <w:i w:val="0"/>
          <w:color w:val="000000"/>
          <w:sz w:val="21"/>
        </w:rPr>
        <w:t>The Fifth Amendment protects the living being from compelled self-incrimination and from deprivation of liberty without due process of law. Any statement obtained through custodial interrogation after the invocation of the right to remain silent or the right to counsel must be suppressed. Miranda v. Arizona, 384 U.S. 436 (1966). The invocation of the right to remain silent must be scrupulously honored. Michigan v. Mosley, 423 U.S. 96 (1975). Once the right to counsel is invoked, all questioning must cease until counsel is present. Edwards v. Arizona, 451 U.S. 477 (1981).</w:t>
      </w:r>
    </w:p>
    <w:p>
      <w:pPr>
        <w:spacing w:before="200" w:after="60"/>
        <w:jc w:val="left"/>
      </w:pPr>
      <w:r>
        <w:rPr>
          <w:rFonts w:ascii="Arial" w:hAnsi="Arial"/>
          <w:b/>
          <w:i w:val="0"/>
          <w:color w:val="222244"/>
          <w:sz w:val="22"/>
        </w:rPr>
        <w:t>Claim Three: Fourteenth Amendment Equal Protection Violation</w:t>
      </w:r>
    </w:p>
    <w:p>
      <w:pPr>
        <w:spacing w:before="0" w:after="120"/>
        <w:jc w:val="both"/>
      </w:pPr>
      <w:r>
        <w:rPr>
          <w:rFonts w:ascii="Arial" w:hAnsi="Arial"/>
          <w:b w:val="0"/>
          <w:i w:val="0"/>
          <w:color w:val="000000"/>
          <w:sz w:val="21"/>
        </w:rPr>
        <w:t>The Fourteenth Amendment guarantees equal protection of the laws to all persons. A stop, detention, or arrest motivated in whole or in part by the race of the individual violates the Equal Protection Clause. Washington v. Davis, 426 U.S. 229 (1976), held that racially discriminatory purpose combined with racially disparate impact establishes an equal protection violation. The documented pattern of racially disparate stops, searches, and arrests in Athens, Georgia and across the United States constitutes the systemic evidentiary background against which any individual stop must be evaluated. McCleskey v. Kemp, 481 U.S. 279 (1987), Justice Brennan dissenting.</w:t>
      </w:r>
    </w:p>
    <w:p>
      <w:pPr>
        <w:spacing w:before="200" w:after="60"/>
        <w:jc w:val="left"/>
      </w:pPr>
      <w:r>
        <w:rPr>
          <w:rFonts w:ascii="Arial" w:hAnsi="Arial"/>
          <w:b/>
          <w:i w:val="0"/>
          <w:color w:val="222244"/>
          <w:sz w:val="22"/>
        </w:rPr>
        <w:t>Claim Four: Civil Rights Violations Under Color of Law</w:t>
      </w:r>
    </w:p>
    <w:p>
      <w:pPr>
        <w:spacing w:before="0" w:after="120"/>
        <w:jc w:val="both"/>
      </w:pPr>
      <w:r>
        <w:rPr>
          <w:rFonts w:ascii="Arial" w:hAnsi="Arial"/>
          <w:b w:val="0"/>
          <w:i w:val="0"/>
          <w:color w:val="000000"/>
          <w:sz w:val="21"/>
        </w:rPr>
        <w:t>18 U.S.C. section 242 makes it a federal crime for any person acting under color of any law to willfully deprive any person of any rights, privileges, or immunities secured or protected by the Constitution or laws of the United States. 42 U.S.C. section 1983 provides a civil cause of action against any person acting under color of state law who deprives a person of rights secured by the Constitution or laws of the United States. These remedies are available for every constitutional violation documented in this toolkit.</w:t>
      </w:r>
    </w:p>
    <w:p>
      <w:pPr>
        <w:spacing w:before="200" w:after="60"/>
        <w:jc w:val="left"/>
      </w:pPr>
      <w:r>
        <w:rPr>
          <w:rFonts w:ascii="Arial" w:hAnsi="Arial"/>
          <w:b/>
          <w:i w:val="0"/>
          <w:color w:val="222244"/>
          <w:sz w:val="22"/>
        </w:rPr>
        <w:t>Claim Five: RFRA Violation</w:t>
      </w:r>
    </w:p>
    <w:p>
      <w:pPr>
        <w:spacing w:before="0" w:after="120"/>
        <w:jc w:val="both"/>
      </w:pPr>
      <w:r>
        <w:rPr>
          <w:rFonts w:ascii="Arial" w:hAnsi="Arial"/>
          <w:b w:val="0"/>
          <w:i w:val="0"/>
          <w:color w:val="000000"/>
          <w:sz w:val="21"/>
        </w:rPr>
        <w:t>The Religious Freedom Restoration Act, 42 U.S.C. section 2000bb et seq., prohibits the government from substantially burdening a person's exercise of religion without demonstrating a compelling interest pursued by least restrictive means. A racially motivated or pretextual stop of a living being who holds a sincerely held belief in their divine sovereignty constitutes a substantial burden on that belief. The government cannot demonstrate a compelling interest in conducting a stop unsupported by individualized suspicion. Burwell v. Hobby Lobby Stores, Inc., 573 U.S. 682 (2014). Gonzales v. O Centro Espirita Beneficente Uniao do Vegetal, 546 U.S. 418 (2006).</w:t>
      </w:r>
    </w:p>
    <w:p>
      <w:pPr>
        <w:spacing w:before="200" w:after="60"/>
        <w:jc w:val="left"/>
      </w:pPr>
      <w:r>
        <w:rPr>
          <w:rFonts w:ascii="Arial" w:hAnsi="Arial"/>
          <w:b/>
          <w:i w:val="0"/>
          <w:color w:val="222244"/>
          <w:sz w:val="22"/>
        </w:rPr>
        <w:t>Claim Six: Georgia Constitutional Violations</w:t>
      </w:r>
    </w:p>
    <w:p>
      <w:pPr>
        <w:spacing w:before="0" w:after="120"/>
        <w:jc w:val="both"/>
      </w:pPr>
      <w:r>
        <w:rPr>
          <w:rFonts w:ascii="Arial" w:hAnsi="Arial"/>
          <w:b w:val="0"/>
          <w:i w:val="0"/>
          <w:color w:val="000000"/>
          <w:sz w:val="21"/>
        </w:rPr>
        <w:t>The Georgia Constitution, Article I, Section I, Paragraph I prohibits deprivation of liberty without due process. Paragraph II prohibits unreasonable searches and seizures. Paragraph IV prohibits the molestation of any person on account of their religious opinions. These provisions apply independently of and in addition to the federal constitutional claims set out above and provide an independent basis for relief in any Georgia state forum.</w:t>
      </w:r>
    </w:p>
    <w:p>
      <w:pPr>
        <w:spacing w:before="280" w:after="80"/>
        <w:jc w:val="left"/>
        <w:pBdr>
          <w:bottom w:val="single" w:sz="4" w:space="1" w:color="1a1a2e"/>
        </w:pBdr>
      </w:pPr>
      <w:r>
        <w:rPr>
          <w:rFonts w:ascii="Arial" w:hAnsi="Arial"/>
          <w:b/>
          <w:i w:val="0"/>
          <w:color w:val="1A1A2E"/>
          <w:sz w:val="24"/>
        </w:rPr>
        <w:t>AVAILABLE REMEDIES</w:t>
      </w:r>
    </w:p>
    <w:p>
      <w:pPr>
        <w:spacing w:before="0" w:after="80"/>
        <w:jc w:val="both"/>
      </w:pPr>
      <w:r>
        <w:rPr>
          <w:rFonts w:ascii="Arial" w:hAnsi="Arial"/>
          <w:b w:val="0"/>
          <w:i w:val="0"/>
          <w:color w:val="000000"/>
          <w:sz w:val="21"/>
        </w:rPr>
        <w:t>The following remedies are available when a stop or detention violates the rights set out above:</w:t>
      </w:r>
    </w:p>
    <w:p>
      <w:pPr>
        <w:pStyle w:val="ListBullet"/>
        <w:spacing w:after="60"/>
        <w:ind w:left="576"/>
      </w:pPr>
      <w:r>
        <w:rPr>
          <w:rFonts w:ascii="Arial" w:hAnsi="Arial"/>
          <w:sz w:val="21"/>
        </w:rPr>
        <w:t>Suppression of evidence: Any evidence obtained through an unconstitutional stop, search, or arrest must be suppressed under the exclusionary rule. Mapp v. Ohio, 367 U.S. 643 (1961). Wong Sun v. United States, 371 U.S. 471 (1963) (fruit of the poisonous tree doctrine).</w:t>
      </w:r>
    </w:p>
    <w:p>
      <w:pPr>
        <w:pStyle w:val="ListBullet"/>
        <w:spacing w:after="60"/>
        <w:ind w:left="576"/>
      </w:pPr>
      <w:r>
        <w:rPr>
          <w:rFonts w:ascii="Arial" w:hAnsi="Arial"/>
          <w:sz w:val="21"/>
        </w:rPr>
        <w:t>Dismissal of charges: Where the stop that led to arrest was constitutionally deficient, the charges arising from that arrest may be dismissed.</w:t>
      </w:r>
    </w:p>
    <w:p>
      <w:pPr>
        <w:pStyle w:val="ListBullet"/>
        <w:spacing w:after="60"/>
        <w:ind w:left="576"/>
      </w:pPr>
      <w:r>
        <w:rPr>
          <w:rFonts w:ascii="Arial" w:hAnsi="Arial"/>
          <w:sz w:val="21"/>
        </w:rPr>
        <w:t>Civil damages under 42 U.S.C. section 1983: Against any officer or municipality whose policy or custom caused the constitutional violation. Monell v. Department of Social Services, 436 U.S. 658 (1978).</w:t>
      </w:r>
    </w:p>
    <w:p>
      <w:pPr>
        <w:pStyle w:val="ListBullet"/>
        <w:spacing w:after="60"/>
        <w:ind w:left="576"/>
      </w:pPr>
      <w:r>
        <w:rPr>
          <w:rFonts w:ascii="Arial" w:hAnsi="Arial"/>
          <w:sz w:val="21"/>
        </w:rPr>
        <w:t>Federal criminal prosecution under 18 U.S.C. section 242: For willful deprivation of constitutional rights under color of law.</w:t>
      </w:r>
    </w:p>
    <w:p>
      <w:pPr>
        <w:pStyle w:val="ListBullet"/>
        <w:spacing w:after="60"/>
        <w:ind w:left="576"/>
      </w:pPr>
      <w:r>
        <w:rPr>
          <w:rFonts w:ascii="Arial" w:hAnsi="Arial"/>
          <w:sz w:val="21"/>
        </w:rPr>
        <w:t>Complaint to the Georgia Peace Officer Standards and Training Council (POST): For officer misconduct and license revocation.</w:t>
      </w:r>
    </w:p>
    <w:p>
      <w:pPr>
        <w:pStyle w:val="ListBullet"/>
        <w:spacing w:after="60"/>
        <w:ind w:left="576"/>
      </w:pPr>
      <w:r>
        <w:rPr>
          <w:rFonts w:ascii="Arial" w:hAnsi="Arial"/>
          <w:sz w:val="21"/>
        </w:rPr>
        <w:t>Complaint to the U.S. Department of Justice Civil Rights Division: For patterns or practices of unconstitutional policing.</w:t>
      </w:r>
    </w:p>
    <w:p>
      <w:pPr>
        <w:pStyle w:val="ListBullet"/>
        <w:spacing w:after="60"/>
        <w:ind w:left="576"/>
      </w:pPr>
      <w:r>
        <w:rPr>
          <w:rFonts w:ascii="Arial" w:hAnsi="Arial"/>
          <w:sz w:val="21"/>
        </w:rPr>
        <w:t>Petition to the Inter-American Commission on Human Rights: Where domestic remedies have been exhausted and the violation reflects a systemic pattern of racial discrimination.</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AFTER THE ENCOUNTER: YOUR NEXT STEPS</w:t>
      </w:r>
    </w:p>
    <w:p>
      <w:pPr>
        <w:spacing w:before="120" w:after="60"/>
        <w:jc w:val="both"/>
      </w:pPr>
      <w:r>
        <w:rPr>
          <w:rFonts w:ascii="Arial" w:hAnsi="Arial"/>
          <w:b/>
          <w:i w:val="0"/>
          <w:color w:val="1A1A2E"/>
          <w:sz w:val="21"/>
        </w:rPr>
        <w:t xml:space="preserve">Step 1: Document immediately.  </w:t>
      </w:r>
      <w:r>
        <w:rPr>
          <w:rFonts w:ascii="Arial" w:hAnsi="Arial"/>
          <w:b w:val="0"/>
          <w:i w:val="0"/>
          <w:color w:val="000000"/>
          <w:sz w:val="21"/>
        </w:rPr>
        <w:t>Write down everything while memory is fresh. Officer name and badge number. Location, date, and time. Exact words spoken on both sides. Witnesses. Any use of force. Whether Miranda rights were given.</w:t>
      </w:r>
    </w:p>
    <w:p>
      <w:pPr>
        <w:spacing w:before="120" w:after="60"/>
        <w:jc w:val="both"/>
      </w:pPr>
      <w:r>
        <w:rPr>
          <w:rFonts w:ascii="Arial" w:hAnsi="Arial"/>
          <w:b/>
          <w:i w:val="0"/>
          <w:color w:val="1A1A2E"/>
          <w:sz w:val="21"/>
        </w:rPr>
        <w:t xml:space="preserve">Step 2: Preserve evidence.  </w:t>
      </w:r>
      <w:r>
        <w:rPr>
          <w:rFonts w:ascii="Arial" w:hAnsi="Arial"/>
          <w:b w:val="0"/>
          <w:i w:val="0"/>
          <w:color w:val="000000"/>
          <w:sz w:val="21"/>
        </w:rPr>
        <w:t>Back up any recordings immediately to a secure cloud location. Do not delete anything. Photograph any injuries.</w:t>
      </w:r>
    </w:p>
    <w:p>
      <w:pPr>
        <w:spacing w:before="120" w:after="60"/>
        <w:jc w:val="both"/>
      </w:pPr>
      <w:r>
        <w:rPr>
          <w:rFonts w:ascii="Arial" w:hAnsi="Arial"/>
          <w:b/>
          <w:i w:val="0"/>
          <w:color w:val="1A1A2E"/>
          <w:sz w:val="21"/>
        </w:rPr>
        <w:t xml:space="preserve">Step 3: File a complaint.  </w:t>
      </w:r>
      <w:r>
        <w:rPr>
          <w:rFonts w:ascii="Arial" w:hAnsi="Arial"/>
          <w:b w:val="0"/>
          <w:i w:val="0"/>
          <w:color w:val="000000"/>
          <w:sz w:val="21"/>
        </w:rPr>
        <w:t>You can file a complaint with the Athens-Clarke County Police Department's Office of Professional Standards, the Georgia POST Council, and the U.S. Department of Justice Civil Rights Division simultaneously. Filing a complaint creates an official record even if no action is taken immediately.</w:t>
      </w:r>
    </w:p>
    <w:p>
      <w:pPr>
        <w:spacing w:before="120" w:after="60"/>
        <w:jc w:val="both"/>
      </w:pPr>
      <w:r>
        <w:rPr>
          <w:rFonts w:ascii="Arial" w:hAnsi="Arial"/>
          <w:b/>
          <w:i w:val="0"/>
          <w:color w:val="1A1A2E"/>
          <w:sz w:val="21"/>
        </w:rPr>
        <w:t xml:space="preserve">Step 4: Consult an attorney.  </w:t>
      </w:r>
      <w:r>
        <w:rPr>
          <w:rFonts w:ascii="Arial" w:hAnsi="Arial"/>
          <w:b w:val="0"/>
          <w:i w:val="0"/>
          <w:color w:val="000000"/>
          <w:sz w:val="21"/>
        </w:rPr>
        <w:t>This toolkit is a legal defense framework, not a substitute for legal counsel. If your rights were violated, a civil rights attorney can evaluate your claims. Many civil rights attorneys work on contingency, meaning no upfront cost.</w:t>
      </w:r>
    </w:p>
    <w:p>
      <w:pPr>
        <w:spacing w:before="120" w:after="60"/>
        <w:jc w:val="both"/>
      </w:pPr>
      <w:r>
        <w:rPr>
          <w:rFonts w:ascii="Arial" w:hAnsi="Arial"/>
          <w:b/>
          <w:i w:val="0"/>
          <w:color w:val="1A1A2E"/>
          <w:sz w:val="21"/>
        </w:rPr>
        <w:t xml:space="preserve">Step 5: Connect this encounter to the broader record.  </w:t>
      </w:r>
      <w:r>
        <w:rPr>
          <w:rFonts w:ascii="Arial" w:hAnsi="Arial"/>
          <w:b w:val="0"/>
          <w:i w:val="0"/>
          <w:color w:val="000000"/>
          <w:sz w:val="21"/>
        </w:rPr>
        <w:t>Your encounter, documented and filed, becomes part of the evidentiary record of systemic racial disparities in policing. This record supports the broader doctrine and future litigation.</w:t>
      </w:r>
    </w:p>
    <w:p>
      <w:pPr>
        <w:spacing w:before="120" w:after="120"/>
        <w:jc w:val="center"/>
        <w:pBdr>
          <w:bottom w:val="single" w:sz="4" w:space="1" w:color="1a1a2e"/>
        </w:pBdr>
      </w:pPr>
    </w:p>
    <w:p>
      <w:r>
        <w:br w:type="page"/>
      </w:r>
    </w:p>
    <w:p>
      <w:pPr>
        <w:spacing w:before="0" w:after="120"/>
        <w:jc w:val="center"/>
        <w:pBdr>
          <w:bottom w:val="single" w:sz="4" w:space="1" w:color="1a1a2e"/>
        </w:pBdr>
      </w:pPr>
    </w:p>
    <w:p>
      <w:pPr>
        <w:spacing w:before="80" w:after="120"/>
        <w:jc w:val="center"/>
      </w:pPr>
      <w:r>
        <w:rPr>
          <w:rFonts w:ascii="Arial" w:hAnsi="Arial"/>
          <w:b/>
          <w:i w:val="0"/>
          <w:color w:val="1A1A2E"/>
          <w:sz w:val="20"/>
        </w:rPr>
        <w:t>LEGAL FOUNDATION OF THIS DOCUMENT</w:t>
      </w:r>
    </w:p>
    <w:p>
      <w:pPr>
        <w:spacing w:before="0" w:after="200"/>
        <w:jc w:val="both"/>
      </w:pPr>
      <w:r>
        <w:rPr>
          <w:rFonts w:ascii="Arial" w:hAnsi="Arial"/>
          <w:b w:val="0"/>
          <w:i w:val="0"/>
          <w:color w:val="000000"/>
          <w:sz w:val="21"/>
        </w:rPr>
        <w:t>This toolkit is Part Three of the Sovereign Self Legal Defense Series, grounded in the Doctrine of Pre-Political Sovereign Being authored by Rickey Allan Howard, Athens, Georgia (2026). The doctrine draws from the seven volumes of The Sovereign Self: Reclaiming Divine Intent in Law and Governance and is anchored in binding U.S. constitutional law, federal statute, Georgia state law, and international human rights instruments. Every legal citation in this document has been verified in good faith against existing law as of March 2026.</w:t>
      </w:r>
    </w:p>
    <w:p>
      <w:pPr>
        <w:spacing w:before="40" w:after="120"/>
        <w:jc w:val="center"/>
      </w:pPr>
      <w:r>
        <w:rPr>
          <w:rFonts w:ascii="Arial" w:hAnsi="Arial"/>
          <w:b/>
          <w:i w:val="0"/>
          <w:color w:val="1A1A2E"/>
          <w:sz w:val="20"/>
        </w:rPr>
        <w:t>TABLE OF LEGAL AUTHORITIES CITED IN THIS TOOLKIT</w:t>
      </w:r>
    </w:p>
    <w:p>
      <w:pPr>
        <w:spacing w:before="200" w:after="60"/>
        <w:jc w:val="left"/>
      </w:pPr>
      <w:r>
        <w:rPr>
          <w:rFonts w:ascii="Arial" w:hAnsi="Arial"/>
          <w:b/>
          <w:i w:val="0"/>
          <w:color w:val="222244"/>
          <w:sz w:val="22"/>
        </w:rPr>
        <w:t>United States Supreme Court Cases</w:t>
      </w:r>
    </w:p>
    <w:p>
      <w:pPr>
        <w:pStyle w:val="ListBullet"/>
        <w:spacing w:after="60"/>
        <w:ind w:left="576"/>
      </w:pPr>
      <w:r>
        <w:rPr>
          <w:rFonts w:ascii="Arial" w:hAnsi="Arial"/>
          <w:sz w:val="21"/>
        </w:rPr>
        <w:t>Arizona v. Gant, 556 U.S. 332 (2009)</w:t>
      </w:r>
    </w:p>
    <w:p>
      <w:pPr>
        <w:pStyle w:val="ListBullet"/>
        <w:spacing w:after="60"/>
        <w:ind w:left="576"/>
      </w:pPr>
      <w:r>
        <w:rPr>
          <w:rFonts w:ascii="Arial" w:hAnsi="Arial"/>
          <w:sz w:val="21"/>
        </w:rPr>
        <w:t>Berghuis v. Thompkins, 560 U.S. 370 (2010)</w:t>
      </w:r>
    </w:p>
    <w:p>
      <w:pPr>
        <w:pStyle w:val="ListBullet"/>
        <w:spacing w:after="60"/>
        <w:ind w:left="576"/>
      </w:pPr>
      <w:r>
        <w:rPr>
          <w:rFonts w:ascii="Arial" w:hAnsi="Arial"/>
          <w:sz w:val="21"/>
        </w:rPr>
        <w:t>Burwell v. Hobby Lobby Stores, Inc., 573 U.S. 682 (2014)</w:t>
      </w:r>
    </w:p>
    <w:p>
      <w:pPr>
        <w:pStyle w:val="ListBullet"/>
        <w:spacing w:after="60"/>
        <w:ind w:left="576"/>
      </w:pPr>
      <w:r>
        <w:rPr>
          <w:rFonts w:ascii="Arial" w:hAnsi="Arial"/>
          <w:sz w:val="21"/>
        </w:rPr>
        <w:t>Dunaway v. New York, 442 U.S. 200 (1979)</w:t>
      </w:r>
    </w:p>
    <w:p>
      <w:pPr>
        <w:pStyle w:val="ListBullet"/>
        <w:spacing w:after="60"/>
        <w:ind w:left="576"/>
      </w:pPr>
      <w:r>
        <w:rPr>
          <w:rFonts w:ascii="Arial" w:hAnsi="Arial"/>
          <w:sz w:val="21"/>
        </w:rPr>
        <w:t>Edwards v. Arizona, 451 U.S. 477 (1981)</w:t>
      </w:r>
    </w:p>
    <w:p>
      <w:pPr>
        <w:pStyle w:val="ListBullet"/>
        <w:spacing w:after="60"/>
        <w:ind w:left="576"/>
      </w:pPr>
      <w:r>
        <w:rPr>
          <w:rFonts w:ascii="Arial" w:hAnsi="Arial"/>
          <w:sz w:val="21"/>
        </w:rPr>
        <w:t>Florida v. Bostick, 501 U.S. 429 (1991)</w:t>
      </w:r>
    </w:p>
    <w:p>
      <w:pPr>
        <w:pStyle w:val="ListBullet"/>
        <w:spacing w:after="60"/>
        <w:ind w:left="576"/>
      </w:pPr>
      <w:r>
        <w:rPr>
          <w:rFonts w:ascii="Arial" w:hAnsi="Arial"/>
          <w:sz w:val="21"/>
        </w:rPr>
        <w:t>Frazee v. Illinois Department of Employment Security, 489 U.S. 829 (1989)</w:t>
      </w:r>
    </w:p>
    <w:p>
      <w:pPr>
        <w:pStyle w:val="ListBullet"/>
        <w:spacing w:after="60"/>
        <w:ind w:left="576"/>
      </w:pPr>
      <w:r>
        <w:rPr>
          <w:rFonts w:ascii="Arial" w:hAnsi="Arial"/>
          <w:sz w:val="21"/>
        </w:rPr>
        <w:t>Gonzales v. O Centro Espirita Beneficente Uniao do Vegetal, 546 U.S. 418 (2006)</w:t>
      </w:r>
    </w:p>
    <w:p>
      <w:pPr>
        <w:pStyle w:val="ListBullet"/>
        <w:spacing w:after="60"/>
        <w:ind w:left="576"/>
      </w:pPr>
      <w:r>
        <w:rPr>
          <w:rFonts w:ascii="Arial" w:hAnsi="Arial"/>
          <w:sz w:val="21"/>
        </w:rPr>
        <w:t>Hiibel v. Sixth Judicial District Court, 542 U.S. 177 (2004)</w:t>
      </w:r>
    </w:p>
    <w:p>
      <w:pPr>
        <w:pStyle w:val="ListBullet"/>
        <w:spacing w:after="60"/>
        <w:ind w:left="576"/>
      </w:pPr>
      <w:r>
        <w:rPr>
          <w:rFonts w:ascii="Arial" w:hAnsi="Arial"/>
          <w:sz w:val="21"/>
        </w:rPr>
        <w:t>Illinois v. Wardlow, 528 U.S. 119 (2000)</w:t>
      </w:r>
    </w:p>
    <w:p>
      <w:pPr>
        <w:pStyle w:val="ListBullet"/>
        <w:spacing w:after="60"/>
        <w:ind w:left="576"/>
      </w:pPr>
      <w:r>
        <w:rPr>
          <w:rFonts w:ascii="Arial" w:hAnsi="Arial"/>
          <w:sz w:val="21"/>
        </w:rPr>
        <w:t>Mapp v. Ohio, 367 U.S. 643 (1961)</w:t>
      </w:r>
    </w:p>
    <w:p>
      <w:pPr>
        <w:pStyle w:val="ListBullet"/>
        <w:spacing w:after="60"/>
        <w:ind w:left="576"/>
      </w:pPr>
      <w:r>
        <w:rPr>
          <w:rFonts w:ascii="Arial" w:hAnsi="Arial"/>
          <w:sz w:val="21"/>
        </w:rPr>
        <w:t>McCleskey v. Kemp, 481 U.S. 279 (1987)</w:t>
      </w:r>
    </w:p>
    <w:p>
      <w:pPr>
        <w:pStyle w:val="ListBullet"/>
        <w:spacing w:after="60"/>
        <w:ind w:left="576"/>
      </w:pPr>
      <w:r>
        <w:rPr>
          <w:rFonts w:ascii="Arial" w:hAnsi="Arial"/>
          <w:sz w:val="21"/>
        </w:rPr>
        <w:t>Michigan v. Mosley, 423 U.S. 96 (1975)</w:t>
      </w:r>
    </w:p>
    <w:p>
      <w:pPr>
        <w:pStyle w:val="ListBullet"/>
        <w:spacing w:after="60"/>
        <w:ind w:left="576"/>
      </w:pPr>
      <w:r>
        <w:rPr>
          <w:rFonts w:ascii="Arial" w:hAnsi="Arial"/>
          <w:sz w:val="21"/>
        </w:rPr>
        <w:t>Miranda v. Arizona, 384 U.S. 436 (1966)</w:t>
      </w:r>
    </w:p>
    <w:p>
      <w:pPr>
        <w:pStyle w:val="ListBullet"/>
        <w:spacing w:after="60"/>
        <w:ind w:left="576"/>
      </w:pPr>
      <w:r>
        <w:rPr>
          <w:rFonts w:ascii="Arial" w:hAnsi="Arial"/>
          <w:sz w:val="21"/>
        </w:rPr>
        <w:t>Monell v. Department of Social Services, 436 U.S. 658 (1978)</w:t>
      </w:r>
    </w:p>
    <w:p>
      <w:pPr>
        <w:pStyle w:val="ListBullet"/>
        <w:spacing w:after="60"/>
        <w:ind w:left="576"/>
      </w:pPr>
      <w:r>
        <w:rPr>
          <w:rFonts w:ascii="Arial" w:hAnsi="Arial"/>
          <w:sz w:val="21"/>
        </w:rPr>
        <w:t>Rodriguez v. United States, 575 U.S. 348 (2015)</w:t>
      </w:r>
    </w:p>
    <w:p>
      <w:pPr>
        <w:pStyle w:val="ListBullet"/>
        <w:spacing w:after="60"/>
        <w:ind w:left="576"/>
      </w:pPr>
      <w:r>
        <w:rPr>
          <w:rFonts w:ascii="Arial" w:hAnsi="Arial"/>
          <w:sz w:val="21"/>
        </w:rPr>
        <w:t>Schneckloth v. Bustamonte, 412 U.S. 218 (1973)</w:t>
      </w:r>
    </w:p>
    <w:p>
      <w:pPr>
        <w:pStyle w:val="ListBullet"/>
        <w:spacing w:after="60"/>
        <w:ind w:left="576"/>
      </w:pPr>
      <w:r>
        <w:rPr>
          <w:rFonts w:ascii="Arial" w:hAnsi="Arial"/>
          <w:sz w:val="21"/>
        </w:rPr>
        <w:t>Terry v. Ohio, 392 U.S. 1 (1968)</w:t>
      </w:r>
    </w:p>
    <w:p>
      <w:pPr>
        <w:pStyle w:val="ListBullet"/>
        <w:spacing w:after="60"/>
        <w:ind w:left="576"/>
      </w:pPr>
      <w:r>
        <w:rPr>
          <w:rFonts w:ascii="Arial" w:hAnsi="Arial"/>
          <w:sz w:val="21"/>
        </w:rPr>
        <w:t>United States v. Drayton, 536 U.S. 194 (2002)</w:t>
      </w:r>
    </w:p>
    <w:p>
      <w:pPr>
        <w:pStyle w:val="ListBullet"/>
        <w:spacing w:after="60"/>
        <w:ind w:left="576"/>
      </w:pPr>
      <w:r>
        <w:rPr>
          <w:rFonts w:ascii="Arial" w:hAnsi="Arial"/>
          <w:sz w:val="21"/>
        </w:rPr>
        <w:t>United States v. Seeger, 380 U.S. 163 (1965)</w:t>
      </w:r>
    </w:p>
    <w:p>
      <w:pPr>
        <w:pStyle w:val="ListBullet"/>
        <w:spacing w:after="60"/>
        <w:ind w:left="576"/>
      </w:pPr>
      <w:r>
        <w:rPr>
          <w:rFonts w:ascii="Arial" w:hAnsi="Arial"/>
          <w:sz w:val="21"/>
        </w:rPr>
        <w:t>United States v. Sokolow, 490 U.S. 1 (1989)</w:t>
      </w:r>
    </w:p>
    <w:p>
      <w:pPr>
        <w:pStyle w:val="ListBullet"/>
        <w:spacing w:after="60"/>
        <w:ind w:left="576"/>
      </w:pPr>
      <w:r>
        <w:rPr>
          <w:rFonts w:ascii="Arial" w:hAnsi="Arial"/>
          <w:sz w:val="21"/>
        </w:rPr>
        <w:t>Washington v. Davis, 426 U.S. 229 (1976)</w:t>
      </w:r>
    </w:p>
    <w:p>
      <w:pPr>
        <w:pStyle w:val="ListBullet"/>
        <w:spacing w:after="60"/>
        <w:ind w:left="576"/>
      </w:pPr>
      <w:r>
        <w:rPr>
          <w:rFonts w:ascii="Arial" w:hAnsi="Arial"/>
          <w:sz w:val="21"/>
        </w:rPr>
        <w:t>Wong Sun v. United States, 371 U.S. 471 (1963)</w:t>
      </w:r>
    </w:p>
    <w:p>
      <w:pPr>
        <w:spacing w:before="200" w:after="60"/>
        <w:jc w:val="left"/>
      </w:pPr>
      <w:r>
        <w:rPr>
          <w:rFonts w:ascii="Arial" w:hAnsi="Arial"/>
          <w:b/>
          <w:i w:val="0"/>
          <w:color w:val="222244"/>
          <w:sz w:val="22"/>
        </w:rPr>
        <w:t>Federal Circuit Court Cases</w:t>
      </w:r>
    </w:p>
    <w:p>
      <w:pPr>
        <w:pStyle w:val="ListBullet"/>
        <w:spacing w:after="60"/>
        <w:ind w:left="576"/>
      </w:pPr>
      <w:r>
        <w:rPr>
          <w:rFonts w:ascii="Arial" w:hAnsi="Arial"/>
          <w:sz w:val="21"/>
        </w:rPr>
        <w:t>Glik v. Cunniffe, 655 F.3d 78 (1st Cir. 2011)</w:t>
      </w:r>
    </w:p>
    <w:p>
      <w:pPr>
        <w:spacing w:before="200" w:after="60"/>
        <w:jc w:val="left"/>
      </w:pPr>
      <w:r>
        <w:rPr>
          <w:rFonts w:ascii="Arial" w:hAnsi="Arial"/>
          <w:b/>
          <w:i w:val="0"/>
          <w:color w:val="222244"/>
          <w:sz w:val="22"/>
        </w:rPr>
        <w:t>Federal Statutes</w:t>
      </w:r>
    </w:p>
    <w:p>
      <w:pPr>
        <w:pStyle w:val="ListBullet"/>
        <w:spacing w:after="60"/>
        <w:ind w:left="576"/>
      </w:pPr>
      <w:r>
        <w:rPr>
          <w:rFonts w:ascii="Arial" w:hAnsi="Arial"/>
          <w:sz w:val="21"/>
        </w:rPr>
        <w:t>U.S. Const. amend. I (Free Exercise; Free Speech)</w:t>
      </w:r>
    </w:p>
    <w:p>
      <w:pPr>
        <w:pStyle w:val="ListBullet"/>
        <w:spacing w:after="60"/>
        <w:ind w:left="576"/>
      </w:pPr>
      <w:r>
        <w:rPr>
          <w:rFonts w:ascii="Arial" w:hAnsi="Arial"/>
          <w:sz w:val="21"/>
        </w:rPr>
        <w:t>U.S. Const. amend. IV (Unreasonable Search and Seizure)</w:t>
      </w:r>
    </w:p>
    <w:p>
      <w:pPr>
        <w:pStyle w:val="ListBullet"/>
        <w:spacing w:after="60"/>
        <w:ind w:left="576"/>
      </w:pPr>
      <w:r>
        <w:rPr>
          <w:rFonts w:ascii="Arial" w:hAnsi="Arial"/>
          <w:sz w:val="21"/>
        </w:rPr>
        <w:t>U.S. Const. amend. V (Self-Incrimination; Due Process)</w:t>
      </w:r>
    </w:p>
    <w:p>
      <w:pPr>
        <w:pStyle w:val="ListBullet"/>
        <w:spacing w:after="60"/>
        <w:ind w:left="576"/>
      </w:pPr>
      <w:r>
        <w:rPr>
          <w:rFonts w:ascii="Arial" w:hAnsi="Arial"/>
          <w:sz w:val="21"/>
        </w:rPr>
        <w:t>U.S. Const. amend. XIV (Equal Protection; Due Process)</w:t>
      </w:r>
    </w:p>
    <w:p>
      <w:pPr>
        <w:pStyle w:val="ListBullet"/>
        <w:spacing w:after="60"/>
        <w:ind w:left="576"/>
      </w:pPr>
      <w:r>
        <w:rPr>
          <w:rFonts w:ascii="Arial" w:hAnsi="Arial"/>
          <w:sz w:val="21"/>
        </w:rPr>
        <w:t>Religious Freedom Restoration Act, 42 U.S.C. section 2000bb et seq.</w:t>
      </w:r>
    </w:p>
    <w:p>
      <w:pPr>
        <w:pStyle w:val="ListBullet"/>
        <w:spacing w:after="60"/>
        <w:ind w:left="576"/>
      </w:pPr>
      <w:r>
        <w:rPr>
          <w:rFonts w:ascii="Arial" w:hAnsi="Arial"/>
          <w:sz w:val="21"/>
        </w:rPr>
        <w:t>42 U.S.C. section 1983 (Civil Action for Deprivation of Rights)</w:t>
      </w:r>
    </w:p>
    <w:p>
      <w:pPr>
        <w:pStyle w:val="ListBullet"/>
        <w:spacing w:after="60"/>
        <w:ind w:left="576"/>
      </w:pPr>
      <w:r>
        <w:rPr>
          <w:rFonts w:ascii="Arial" w:hAnsi="Arial"/>
          <w:sz w:val="21"/>
        </w:rPr>
        <w:t>18 U.S.C. section 241 (Conspiracy Against Rights)</w:t>
      </w:r>
    </w:p>
    <w:p>
      <w:pPr>
        <w:pStyle w:val="ListBullet"/>
        <w:spacing w:after="60"/>
        <w:ind w:left="576"/>
      </w:pPr>
      <w:r>
        <w:rPr>
          <w:rFonts w:ascii="Arial" w:hAnsi="Arial"/>
          <w:sz w:val="21"/>
        </w:rPr>
        <w:t>18 U.S.C. section 242 (Deprivation of Rights Under Color of Law)</w:t>
      </w:r>
    </w:p>
    <w:p>
      <w:pPr>
        <w:spacing w:before="200" w:after="60"/>
        <w:jc w:val="left"/>
      </w:pPr>
      <w:r>
        <w:rPr>
          <w:rFonts w:ascii="Arial" w:hAnsi="Arial"/>
          <w:b/>
          <w:i w:val="0"/>
          <w:color w:val="222244"/>
          <w:sz w:val="22"/>
        </w:rPr>
        <w:t>Georgia Law</w:t>
      </w:r>
    </w:p>
    <w:p>
      <w:pPr>
        <w:pStyle w:val="ListBullet"/>
        <w:spacing w:after="60"/>
        <w:ind w:left="576"/>
      </w:pPr>
      <w:r>
        <w:rPr>
          <w:rFonts w:ascii="Arial" w:hAnsi="Arial"/>
          <w:sz w:val="21"/>
        </w:rPr>
        <w:t>Georgia Constitution, Art. I, Sec. I, Par. I (Due Process)</w:t>
      </w:r>
    </w:p>
    <w:p>
      <w:pPr>
        <w:pStyle w:val="ListBullet"/>
        <w:spacing w:after="60"/>
        <w:ind w:left="576"/>
      </w:pPr>
      <w:r>
        <w:rPr>
          <w:rFonts w:ascii="Arial" w:hAnsi="Arial"/>
          <w:sz w:val="21"/>
        </w:rPr>
        <w:t>Georgia Constitution, Art. I, Sec. I, Par. II (Unreasonable Searches)</w:t>
      </w:r>
    </w:p>
    <w:p>
      <w:pPr>
        <w:pStyle w:val="ListBullet"/>
        <w:spacing w:after="60"/>
        <w:ind w:left="576"/>
      </w:pPr>
      <w:r>
        <w:rPr>
          <w:rFonts w:ascii="Arial" w:hAnsi="Arial"/>
          <w:sz w:val="21"/>
        </w:rPr>
        <w:t>Georgia Constitution, Art. I, Sec. I, Par. IV (Religious Freedom)</w:t>
      </w:r>
    </w:p>
    <w:p>
      <w:pPr>
        <w:pStyle w:val="ListBullet"/>
        <w:spacing w:after="60"/>
        <w:ind w:left="576"/>
      </w:pPr>
      <w:r>
        <w:rPr>
          <w:rFonts w:ascii="Arial" w:hAnsi="Arial"/>
          <w:sz w:val="21"/>
        </w:rPr>
        <w:t>O.C.G.A. section 16-11-36 (Georgia Stop and Identify Statute)</w:t>
      </w:r>
    </w:p>
    <w:p>
      <w:pPr>
        <w:pStyle w:val="ListBullet"/>
        <w:spacing w:after="60"/>
        <w:ind w:left="576"/>
      </w:pPr>
      <w:r>
        <w:rPr>
          <w:rFonts w:ascii="Arial" w:hAnsi="Arial"/>
          <w:sz w:val="21"/>
        </w:rPr>
        <w:t>Georgia Religious Freedom Restoration Act, O.C.G.A. section 50-3-1 et seq.</w:t>
      </w:r>
    </w:p>
    <w:p>
      <w:pPr>
        <w:spacing w:before="120" w:after="120"/>
        <w:jc w:val="center"/>
        <w:pBdr>
          <w:bottom w:val="single" w:sz="2" w:space="1" w:color="888888"/>
        </w:pBdr>
      </w:pPr>
    </w:p>
    <w:p>
      <w:pPr>
        <w:spacing w:before="80" w:after="0"/>
        <w:jc w:val="center"/>
      </w:pPr>
      <w:r>
        <w:rPr>
          <w:rFonts w:ascii="Arial" w:hAnsi="Arial"/>
          <w:b w:val="0"/>
          <w:i/>
          <w:color w:val="555577"/>
          <w:sz w:val="21"/>
        </w:rPr>
        <w:t>This document is a legal education and defense framework. It is not a substitute for legal counsel. If your rights have been violated, consult a licensed civil rights attorney. This document may be reproduced and shared freely for the defense of any living being whose rights are at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