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SEVEN</w:t>
      </w:r>
    </w:p>
    <w:p>
      <w:pPr>
        <w:spacing w:before="0" w:after="40"/>
        <w:jc w:val="center"/>
      </w:pPr>
      <w:r>
        <w:rPr>
          <w:rFonts w:ascii="Arial" w:hAnsi="Arial"/>
          <w:b/>
          <w:i w:val="0"/>
          <w:color w:val="1A1A2E"/>
          <w:sz w:val="28"/>
        </w:rPr>
        <w:t>ANCESTRAL LAND AND CULTURAL RIGHTS</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i/>
          <w:color w:val="1A1A2E"/>
          <w:sz w:val="18"/>
        </w:rPr>
        <w:t>The Final and Foundational Toolkit</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is the seventh and foundational toolkit of the Sovereign Self Legal Defense Series. It covers the deepest layer of the doctrine: the ancestral relationship between the living being and the land, the protection of African cultural heritage and spiritual traditions, the international indigenous rights framework, and the path to international human rights bodies. Part One is the spiritual and legal foundation. Part Two covers the domestic legal framework. Part Three covers the international framework and how to access international forums. Part Four covers cultural rights and the protection of sacred knowledge. Part Five provides petition frameworks for international bodies. Part Six is the complete table of authorities.</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THE SPIRITUAL AND LEGAL FOUNDATION</w:t>
      </w:r>
    </w:p>
    <w:p>
      <w:pPr>
        <w:spacing w:before="280" w:after="80"/>
        <w:jc w:val="left"/>
        <w:pBdr>
          <w:bottom w:val="single" w:sz="4" w:space="1" w:color="1a1a2e"/>
        </w:pBdr>
      </w:pPr>
      <w:r>
        <w:rPr>
          <w:rFonts w:ascii="Arial" w:hAnsi="Arial"/>
          <w:b/>
          <w:i w:val="0"/>
          <w:color w:val="1A1A2E"/>
          <w:sz w:val="24"/>
        </w:rPr>
        <w:t>THE EARTH AS ANCESTOR: WHY LAND IS THE DEEPEST RIGHT</w:t>
      </w:r>
    </w:p>
    <w:p>
      <w:pPr>
        <w:spacing w:before="0" w:after="120"/>
        <w:jc w:val="both"/>
      </w:pPr>
      <w:r>
        <w:rPr>
          <w:rFonts w:ascii="Arial" w:hAnsi="Arial"/>
          <w:b w:val="0"/>
          <w:i w:val="0"/>
          <w:color w:val="000000"/>
          <w:sz w:val="21"/>
        </w:rPr>
        <w:t>For the living being whose existence is understood as an energetic expression of Divine Creation, the Earth is not merely property. It is the source. The Schumann Resonance at 7.83 Hz is the Earth's own heartbeat, and the living being's biological electromagnetic system is interfaced with it from birth. The piezoelectric properties of biological tissue mean that the living being is, at the physical level, a crystalline system in continuous resonance with the Earth's own field. To sever a people from their ancestral land is not merely an economic injury. It is a biological and spiritual severance from the source of their being.</w:t>
      </w:r>
    </w:p>
    <w:p>
      <w:pPr>
        <w:spacing w:before="0" w:after="120"/>
        <w:jc w:val="both"/>
      </w:pPr>
      <w:r>
        <w:rPr>
          <w:rFonts w:ascii="Arial" w:hAnsi="Arial"/>
          <w:b w:val="0"/>
          <w:i w:val="0"/>
          <w:color w:val="000000"/>
          <w:sz w:val="21"/>
        </w:rPr>
        <w:t>This understanding is not unique to the Doctrine of Pre-Political Sovereign Being. It is the foundational understanding of every African and indigenous spiritual tradition on Earth. And it is recognized, however imperfectly, by international human rights law. The UN Declaration on the Rights of Indigenous Peoples recognizes the right of indigenous peoples to maintain and strengthen their distinctive spiritual relationship with their traditionally owned or otherwise occupied and used lands, territories, waters, and coastal seas. UNDRIP, Article 25.</w:t>
      </w:r>
    </w:p>
    <w:p>
      <w:pPr>
        <w:spacing w:before="0" w:after="120"/>
        <w:jc w:val="both"/>
      </w:pPr>
      <w:r>
        <w:rPr>
          <w:rFonts w:ascii="Arial" w:hAnsi="Arial"/>
          <w:b w:val="0"/>
          <w:i w:val="0"/>
          <w:color w:val="000000"/>
          <w:sz w:val="21"/>
        </w:rPr>
        <w:t>The forced removal of African peoples from their ancestral continent, the suppression of their sacred traditions, the destruction of their cultural memory, and the systematic denial of their connection to the land they have worked and died on in America for four hundred years — these are not merely historical events. They are ongoing spiritual injuries with ongoing legal consequences. This toolkit builds the legal framework for addressing them.</w:t>
      </w:r>
    </w:p>
    <w:p>
      <w:pPr>
        <w:spacing w:before="280" w:after="80"/>
        <w:jc w:val="left"/>
        <w:pBdr>
          <w:bottom w:val="single" w:sz="4" w:space="1" w:color="1a1a2e"/>
        </w:pBdr>
      </w:pPr>
      <w:r>
        <w:rPr>
          <w:rFonts w:ascii="Arial" w:hAnsi="Arial"/>
          <w:b/>
          <w:i w:val="0"/>
          <w:color w:val="1A1A2E"/>
          <w:sz w:val="24"/>
        </w:rPr>
        <w:t>THE PRE-POLITICAL LAND CLAIM: ITS LEGAL STRUCTURE</w:t>
      </w:r>
    </w:p>
    <w:p>
      <w:pPr>
        <w:spacing w:before="0" w:after="120"/>
        <w:jc w:val="both"/>
      </w:pPr>
      <w:r>
        <w:rPr>
          <w:rFonts w:ascii="Arial" w:hAnsi="Arial"/>
          <w:b w:val="0"/>
          <w:i w:val="0"/>
          <w:color w:val="000000"/>
          <w:sz w:val="21"/>
        </w:rPr>
        <w:t>The pre-political land claim does not ask any court to transfer title to specific parcels of land. It asserts something more fundamental: that the living being of African and indigenous descent has a recognized relationship to this land — the land of the American South, of Athens, Georgia, of the North American continent — that predates and exists independently of any deed, any statute, and any administrative boundary. That relationship is spiritual, biological, historical, and cultural. And it is entitled to legal recognition and protection.</w:t>
      </w:r>
    </w:p>
    <w:p>
      <w:pPr>
        <w:spacing w:before="0" w:after="120"/>
        <w:jc w:val="both"/>
      </w:pPr>
      <w:r>
        <w:rPr>
          <w:rFonts w:ascii="Arial" w:hAnsi="Arial"/>
          <w:b w:val="0"/>
          <w:i w:val="0"/>
          <w:color w:val="000000"/>
          <w:sz w:val="21"/>
        </w:rPr>
        <w:t>The legal structure of this claim rests on four pillars: the Thirteenth Amendment's badges and incidents doctrine; the First Amendment and RFRA's protection of the spiritual land relationship; international indigenous rights instruments; and the natural law foundation of the Doctrine of Pre-Political Sovereign Being itself.</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THE DOMESTIC LEGAL FRAMEWORK</w:t>
      </w:r>
    </w:p>
    <w:p>
      <w:pPr>
        <w:spacing w:before="280" w:after="80"/>
        <w:jc w:val="left"/>
        <w:pBdr>
          <w:bottom w:val="single" w:sz="4" w:space="1" w:color="1a1a2e"/>
        </w:pBdr>
      </w:pPr>
      <w:r>
        <w:rPr>
          <w:rFonts w:ascii="Arial" w:hAnsi="Arial"/>
          <w:b/>
          <w:i w:val="0"/>
          <w:color w:val="1A1A2E"/>
          <w:sz w:val="24"/>
        </w:rPr>
        <w:t>THE THIRTEENTH AMENDMENT AND THE LAND</w:t>
      </w:r>
    </w:p>
    <w:p>
      <w:pPr>
        <w:spacing w:before="0" w:after="120"/>
        <w:jc w:val="both"/>
      </w:pPr>
      <w:r>
        <w:rPr>
          <w:rFonts w:ascii="Arial" w:hAnsi="Arial"/>
          <w:b w:val="0"/>
          <w:i w:val="0"/>
          <w:color w:val="000000"/>
          <w:sz w:val="21"/>
        </w:rPr>
        <w:t>The Thirteenth Amendment's badges and incidents doctrine provides the constitutional foundation for ancestral land claims rooted in the legacy of slavery. The systematic denial of Black landownership — through discriminatory exclusion from the Homestead Act, the agricultural dispossession of Black landowners across the South through fraud, violence, and legal manipulation, and the ongoing undervaluation and predatory targeting of Black-owned land — are badges and incidents of slavery within the meaning of Jones v. Alfred H. Mayer Co., 392 U.S. 409 (1968).</w:t>
      </w:r>
    </w:p>
    <w:p>
      <w:pPr>
        <w:spacing w:before="0" w:after="120"/>
        <w:jc w:val="both"/>
      </w:pPr>
      <w:r>
        <w:rPr>
          <w:rFonts w:ascii="Arial" w:hAnsi="Arial"/>
          <w:b w:val="0"/>
          <w:i w:val="0"/>
          <w:color w:val="000000"/>
          <w:sz w:val="21"/>
        </w:rPr>
        <w:t>The dispossession of Black landowners in the American South is one of the least-examined economic catastrophes in American history. Estimates suggest that Black families lost between 12 and 16 million acres of land between 1910 and 1997, a loss of generational wealth that compounds into the present. This dispossession was accomplished through: heir property fraud, exploiting lack of formal title; partition sales forced by hostile third-party purchasers who acquired fractional interests; tax sales targeting Black-owned property; and outright extralegal violence and intimidation.</w:t>
      </w:r>
    </w:p>
    <w:p>
      <w:pPr>
        <w:spacing w:before="200" w:after="60"/>
        <w:jc w:val="left"/>
      </w:pPr>
      <w:r>
        <w:rPr>
          <w:rFonts w:ascii="Arial" w:hAnsi="Arial"/>
          <w:b/>
          <w:i w:val="0"/>
          <w:color w:val="222244"/>
          <w:sz w:val="22"/>
        </w:rPr>
        <w:t>The Heir Property Problem and Its Legal Remedy</w:t>
      </w:r>
    </w:p>
    <w:p>
      <w:pPr>
        <w:spacing w:before="0" w:after="120"/>
        <w:jc w:val="both"/>
      </w:pPr>
      <w:r>
        <w:rPr>
          <w:rFonts w:ascii="Arial" w:hAnsi="Arial"/>
          <w:b w:val="0"/>
          <w:i w:val="0"/>
          <w:color w:val="000000"/>
          <w:sz w:val="21"/>
        </w:rPr>
        <w:t>Heir property — land passed down through families without formal probate or recorded deeds — is the most common form of Black landownership in the American South and the most vulnerable to legal attack. Without a recorded deed in your name, you have limited ability to access credit, make improvements, or defend against partition actions.</w:t>
      </w:r>
    </w:p>
    <w:p>
      <w:pPr>
        <w:spacing w:before="0" w:after="120"/>
        <w:jc w:val="both"/>
      </w:pPr>
      <w:r>
        <w:rPr>
          <w:rFonts w:ascii="Arial" w:hAnsi="Arial"/>
          <w:b w:val="0"/>
          <w:i w:val="0"/>
          <w:color w:val="000000"/>
          <w:sz w:val="21"/>
        </w:rPr>
        <w:t>The Uniform Partition of Heirs Property Act, enacted in Georgia as O.C.G.A. sections 44-6-180 et seq., provides significant new protections for heir property owners. It gives co-owners the right of first refusal when a forced sale is sought, requires court-ordered appraisal at fair market value, and restricts the ability of third-party purchasers to force partition sales. If you hold heir property, consult an attorney immediately to formalize your title before a third party can exploit the vulnerability.</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Formalizing heir property title is one of the most important legal steps any Black Southern family can take to protect generational wealth. The Uniform Partition of Heirs Property Act is a powerful new tool. Use it.</w:t>
      </w:r>
    </w:p>
    <w:p>
      <w:pPr>
        <w:spacing w:before="200" w:after="60"/>
        <w:jc w:val="left"/>
      </w:pPr>
      <w:r>
        <w:rPr>
          <w:rFonts w:ascii="Arial" w:hAnsi="Arial"/>
          <w:b/>
          <w:i w:val="0"/>
          <w:color w:val="222244"/>
          <w:sz w:val="22"/>
        </w:rPr>
        <w:t>The RFRA Spiritual Land Relationship Claim</w:t>
      </w:r>
    </w:p>
    <w:p>
      <w:pPr>
        <w:spacing w:before="0" w:after="120"/>
        <w:jc w:val="both"/>
      </w:pPr>
      <w:r>
        <w:rPr>
          <w:rFonts w:ascii="Arial" w:hAnsi="Arial"/>
          <w:b w:val="0"/>
          <w:i w:val="0"/>
          <w:color w:val="000000"/>
          <w:sz w:val="21"/>
        </w:rPr>
        <w:t>Where government action — development, environmental degradation, construction, or policy — threatens land that has a documented spiritual and ancestral significance to a community of sincerely held belief, a RFRA challenge is available. The government must demonstrate compelling interest and least restrictive means before substantially burdening the spiritual land relationship. Lyng v. Northwest Indian Cemetery Protective Association, 485 U.S. 439 (1988), while ruling against the plaintiffs on the merits under the then-applicable standard, recognized the profound legal significance of sacred land relationships. Under the post-Smith RFRA framework, the analysis is more protective of religious land claims.</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Jones v. Alfred H. Mayer Co., 392 U.S. 409 (1968). O.C.G.A. sections 44-6-180 et seq. (Uniform Partition of Heirs Property Act). RFRA, 42 U.S.C. section 2000bb. Lyng v. Northwest Indian Cemetery Protective Ass'n, 485 U.S. 439 (1988).</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ENVIRONMENTAL JUSTICE: PROTECTING THE ANCESTRAL LAND</w:t>
      </w:r>
    </w:p>
    <w:p>
      <w:pPr>
        <w:spacing w:before="0" w:after="120"/>
        <w:jc w:val="both"/>
      </w:pPr>
      <w:r>
        <w:rPr>
          <w:rFonts w:ascii="Arial" w:hAnsi="Arial"/>
          <w:b w:val="0"/>
          <w:i w:val="0"/>
          <w:color w:val="000000"/>
          <w:sz w:val="21"/>
        </w:rPr>
        <w:t>Environmental racism — the disproportionate siting of polluting facilities, toxic waste sites, and environmental hazards in communities of color — is a documented badge and incident of slavery operating in the present. It degrades the ancestral land, harms the biological integrity of the living being, and perpetuates the structural subordination of Black communities.</w:t>
      </w:r>
    </w:p>
    <w:p>
      <w:pPr>
        <w:spacing w:before="200" w:after="60"/>
        <w:jc w:val="left"/>
      </w:pPr>
      <w:r>
        <w:rPr>
          <w:rFonts w:ascii="Arial" w:hAnsi="Arial"/>
          <w:b/>
          <w:i w:val="0"/>
          <w:color w:val="222244"/>
          <w:sz w:val="22"/>
        </w:rPr>
        <w:t>Legal Tools for Environmental Justice Claims</w:t>
      </w:r>
    </w:p>
    <w:p>
      <w:pPr>
        <w:pStyle w:val="ListBullet"/>
        <w:spacing w:after="60"/>
        <w:ind w:left="576"/>
      </w:pPr>
      <w:r>
        <w:rPr>
          <w:rFonts w:ascii="Arial" w:hAnsi="Arial"/>
          <w:sz w:val="21"/>
        </w:rPr>
        <w:t>Title VI of the Civil Rights Act, 42 U.S.C. section 2000d: Prohibits discrimination in federally funded programs. Agencies receiving federal funds, including state environmental agencies, cannot discriminate in the siting or permitting of facilities. File complaints with the EPA Office of Civil Rights.</w:t>
      </w:r>
    </w:p>
    <w:p>
      <w:pPr>
        <w:pStyle w:val="ListBullet"/>
        <w:spacing w:after="60"/>
        <w:ind w:left="576"/>
      </w:pPr>
      <w:r>
        <w:rPr>
          <w:rFonts w:ascii="Arial" w:hAnsi="Arial"/>
          <w:sz w:val="21"/>
        </w:rPr>
        <w:t>Executive Order 12898 (Environmental Justice): Requires federal agencies to identify and address disproportionately high and adverse effects of federal programs on minority and low-income populations.</w:t>
      </w:r>
    </w:p>
    <w:p>
      <w:pPr>
        <w:pStyle w:val="ListBullet"/>
        <w:spacing w:after="60"/>
        <w:ind w:left="576"/>
      </w:pPr>
      <w:r>
        <w:rPr>
          <w:rFonts w:ascii="Arial" w:hAnsi="Arial"/>
          <w:sz w:val="21"/>
        </w:rPr>
        <w:t>National Environmental Policy Act (NEPA), 42 U.S.C. sections 4321 et seq.: Requires environmental impact assessment for major federal actions. Community groups can participate in NEPA review and challenge inadequate assessments.</w:t>
      </w:r>
    </w:p>
    <w:p>
      <w:pPr>
        <w:pStyle w:val="ListBullet"/>
        <w:spacing w:after="60"/>
        <w:ind w:left="576"/>
      </w:pPr>
      <w:r>
        <w:rPr>
          <w:rFonts w:ascii="Arial" w:hAnsi="Arial"/>
          <w:sz w:val="21"/>
        </w:rPr>
        <w:t>Clean Air Act and Clean Water Act citizen suit provisions: Allow citizens to sue polluters and the EPA for violations that harm their communities.</w:t>
      </w:r>
    </w:p>
    <w:p>
      <w:pPr>
        <w:pStyle w:val="ListBullet"/>
        <w:spacing w:after="60"/>
        <w:ind w:left="576"/>
      </w:pPr>
      <w:r>
        <w:rPr>
          <w:rFonts w:ascii="Arial" w:hAnsi="Arial"/>
          <w:sz w:val="21"/>
        </w:rPr>
        <w:t>Section 1983 equal protection claims: Where environmental permitting decisions reflect discriminatory purpose, an equal protection claim under 42 U.S.C. section 1983 is available.</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Environmental justice complaints with the EPA's Office of Environmental Justice and External Civil Affairs at epa.gov/environmentaljustice. In Georgia, also file with the Georgia Environmental Protection Division. Document all health impacts, all community organizing, and all governmental responses. This record builds the evidentiary foundation for litigation.</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THE INTERNATIONAL FRAMEWORK AND HOW TO ACCESS IT</w:t>
      </w:r>
    </w:p>
    <w:p>
      <w:pPr>
        <w:spacing w:before="280" w:after="80"/>
        <w:jc w:val="left"/>
        <w:pBdr>
          <w:bottom w:val="single" w:sz="4" w:space="1" w:color="1a1a2e"/>
        </w:pBdr>
      </w:pPr>
      <w:r>
        <w:rPr>
          <w:rFonts w:ascii="Arial" w:hAnsi="Arial"/>
          <w:b/>
          <w:i w:val="0"/>
          <w:color w:val="1A1A2E"/>
          <w:sz w:val="24"/>
        </w:rPr>
        <w:t>INTERNATIONAL HUMAN RIGHTS FORUMS AVAILABLE TO YOU</w:t>
      </w:r>
    </w:p>
    <w:p>
      <w:pPr>
        <w:spacing w:before="0" w:after="120"/>
        <w:jc w:val="both"/>
      </w:pPr>
      <w:r>
        <w:rPr>
          <w:rFonts w:ascii="Arial" w:hAnsi="Arial"/>
          <w:b w:val="0"/>
          <w:i w:val="0"/>
          <w:color w:val="000000"/>
          <w:sz w:val="21"/>
        </w:rPr>
        <w:t>When domestic remedies are inadequate, unavailable, or exhausted, international human rights bodies provide an additional forum for ancestral land and cultural rights claims. These forums do not have enforcement power within the United States, but their findings carry significant moral, political, and diplomatic weight. They also create a permanent international record of violations that supports domestic advocacy and future litigation.</w:t>
      </w:r>
    </w:p>
    <w:p>
      <w:pPr>
        <w:spacing w:before="200" w:after="60"/>
        <w:jc w:val="left"/>
      </w:pPr>
      <w:r>
        <w:rPr>
          <w:rFonts w:ascii="Arial" w:hAnsi="Arial"/>
          <w:b/>
          <w:i w:val="0"/>
          <w:color w:val="222244"/>
          <w:sz w:val="22"/>
        </w:rPr>
        <w:t>The Inter-American Commission on Human Rights</w:t>
      </w:r>
    </w:p>
    <w:p>
      <w:pPr>
        <w:spacing w:before="0" w:after="120"/>
        <w:jc w:val="both"/>
      </w:pPr>
      <w:r>
        <w:rPr>
          <w:rFonts w:ascii="Arial" w:hAnsi="Arial"/>
          <w:b w:val="0"/>
          <w:i w:val="0"/>
          <w:color w:val="000000"/>
          <w:sz w:val="21"/>
        </w:rPr>
        <w:t>The Inter-American Commission on Human Rights is the most accessible international forum for individuals in the United States. As a member of the Organization of American States, the United States is subject to the Commission's jurisdiction under the American Declaration of the Rights and Duties of Man. The Commission has accepted petitions from Black Americans on racial discrimination in the criminal justice system and from indigenous communities on ancestral land rights.</w:t>
      </w:r>
    </w:p>
    <w:p>
      <w:pPr>
        <w:spacing w:before="0" w:after="120"/>
        <w:jc w:val="both"/>
      </w:pPr>
      <w:r>
        <w:rPr>
          <w:rFonts w:ascii="Arial" w:hAnsi="Arial"/>
          <w:b w:val="0"/>
          <w:i w:val="0"/>
          <w:color w:val="000000"/>
          <w:sz w:val="21"/>
        </w:rPr>
        <w:t>To file a petition with the IACHR, you must: have suffered a human rights violation by the United States government; have exhausted domestic remedies or demonstrate that domestic remedies are unavailable or ineffective; and file the petition within six months of the final domestic decision, or within a reasonable time where domestic remedies are unavailable. Petitions are filed at oas.org/en/IACHR.</w:t>
      </w:r>
    </w:p>
    <w:p>
      <w:pPr>
        <w:spacing w:before="200" w:after="60"/>
        <w:jc w:val="left"/>
      </w:pPr>
      <w:r>
        <w:rPr>
          <w:rFonts w:ascii="Arial" w:hAnsi="Arial"/>
          <w:b/>
          <w:i w:val="0"/>
          <w:color w:val="222244"/>
          <w:sz w:val="22"/>
        </w:rPr>
        <w:t>The UN Human Rights Committee</w:t>
      </w:r>
    </w:p>
    <w:p>
      <w:pPr>
        <w:spacing w:before="0" w:after="120"/>
        <w:jc w:val="both"/>
      </w:pPr>
      <w:r>
        <w:rPr>
          <w:rFonts w:ascii="Arial" w:hAnsi="Arial"/>
          <w:b w:val="0"/>
          <w:i w:val="0"/>
          <w:color w:val="000000"/>
          <w:sz w:val="21"/>
        </w:rPr>
        <w:t>The UN Human Rights Committee monitors compliance with the International Covenant on Civil and Political Rights. The United States ratified the ICCPR in 1992 with reservations, but the Committee has jurisdiction to receive periodic reports from the United States and to conduct reviews. While the Optional Protocol allowing individual complaints has not been ratified by the United States, civil society organizations can submit shadow reports to the Committee during its periodic review of U.S. compliance.</w:t>
      </w:r>
    </w:p>
    <w:p>
      <w:pPr>
        <w:spacing w:before="200" w:after="60"/>
        <w:jc w:val="left"/>
      </w:pPr>
      <w:r>
        <w:rPr>
          <w:rFonts w:ascii="Arial" w:hAnsi="Arial"/>
          <w:b/>
          <w:i w:val="0"/>
          <w:color w:val="222244"/>
          <w:sz w:val="22"/>
        </w:rPr>
        <w:t>The UN Special Rapporteurs</w:t>
      </w:r>
    </w:p>
    <w:p>
      <w:pPr>
        <w:spacing w:before="0" w:after="120"/>
        <w:jc w:val="both"/>
      </w:pPr>
      <w:r>
        <w:rPr>
          <w:rFonts w:ascii="Arial" w:hAnsi="Arial"/>
          <w:b w:val="0"/>
          <w:i w:val="0"/>
          <w:color w:val="000000"/>
          <w:sz w:val="21"/>
        </w:rPr>
        <w:t>The United Nations maintains a system of Special Rapporteurs — independent experts with mandates to monitor specific human rights issues globally. The following Special Rapporteurs have direct relevance to ancestral land and cultural rights claims:</w:t>
      </w:r>
    </w:p>
    <w:p>
      <w:pPr>
        <w:pStyle w:val="ListBullet"/>
        <w:spacing w:after="60"/>
        <w:ind w:left="576"/>
      </w:pPr>
      <w:r>
        <w:rPr>
          <w:rFonts w:ascii="Arial" w:hAnsi="Arial"/>
          <w:sz w:val="21"/>
        </w:rPr>
        <w:t>Special Rapporteur on the Rights of Indigenous Peoples</w:t>
      </w:r>
    </w:p>
    <w:p>
      <w:pPr>
        <w:pStyle w:val="ListBullet"/>
        <w:spacing w:after="60"/>
        <w:ind w:left="576"/>
      </w:pPr>
      <w:r>
        <w:rPr>
          <w:rFonts w:ascii="Arial" w:hAnsi="Arial"/>
          <w:sz w:val="21"/>
        </w:rPr>
        <w:t>Special Rapporteur on Contemporary Forms of Racism</w:t>
      </w:r>
    </w:p>
    <w:p>
      <w:pPr>
        <w:pStyle w:val="ListBullet"/>
        <w:spacing w:after="60"/>
        <w:ind w:left="576"/>
      </w:pPr>
      <w:r>
        <w:rPr>
          <w:rFonts w:ascii="Arial" w:hAnsi="Arial"/>
          <w:sz w:val="21"/>
        </w:rPr>
        <w:t>Special Rapporteur on the Right to Food</w:t>
      </w:r>
    </w:p>
    <w:p>
      <w:pPr>
        <w:pStyle w:val="ListBullet"/>
        <w:spacing w:after="60"/>
        <w:ind w:left="576"/>
      </w:pPr>
      <w:r>
        <w:rPr>
          <w:rFonts w:ascii="Arial" w:hAnsi="Arial"/>
          <w:sz w:val="21"/>
        </w:rPr>
        <w:t>Special Rapporteur on Adequate Housing</w:t>
      </w:r>
    </w:p>
    <w:p>
      <w:pPr>
        <w:pStyle w:val="ListBullet"/>
        <w:spacing w:after="60"/>
        <w:ind w:left="576"/>
      </w:pPr>
      <w:r>
        <w:rPr>
          <w:rFonts w:ascii="Arial" w:hAnsi="Arial"/>
          <w:sz w:val="21"/>
        </w:rPr>
        <w:t>Special Rapporteur on Cultural Rights</w:t>
      </w:r>
    </w:p>
    <w:p>
      <w:pPr>
        <w:pStyle w:val="ListBullet"/>
        <w:spacing w:after="60"/>
        <w:ind w:left="576"/>
      </w:pPr>
      <w:r>
        <w:rPr>
          <w:rFonts w:ascii="Arial" w:hAnsi="Arial"/>
          <w:sz w:val="21"/>
        </w:rPr>
        <w:t>Working Group of Experts on People of African Descent</w:t>
      </w:r>
    </w:p>
    <w:p>
      <w:pPr>
        <w:spacing w:before="0" w:after="120"/>
        <w:jc w:val="both"/>
      </w:pPr>
      <w:r>
        <w:rPr>
          <w:rFonts w:ascii="Arial" w:hAnsi="Arial"/>
          <w:b w:val="0"/>
          <w:i w:val="0"/>
          <w:color w:val="000000"/>
          <w:sz w:val="21"/>
        </w:rPr>
        <w:t>Any individual or organization can submit communications to UN Special Rapporteurs through the OHCHR online portal at ohchr.org. Communications should describe the specific violation, the domestic remedies sought, and why international attention is warranted. Special Rapporteurs can send urgent appeals to governments and issue public statements that create political pressure.</w:t>
      </w:r>
    </w:p>
    <w:p>
      <w:pPr>
        <w:spacing w:before="200" w:after="60"/>
        <w:jc w:val="left"/>
      </w:pPr>
      <w:r>
        <w:rPr>
          <w:rFonts w:ascii="Arial" w:hAnsi="Arial"/>
          <w:b/>
          <w:i w:val="0"/>
          <w:color w:val="222244"/>
          <w:sz w:val="22"/>
        </w:rPr>
        <w:t>The UN Working Group of Experts on People of African Descent</w:t>
      </w:r>
    </w:p>
    <w:p>
      <w:pPr>
        <w:spacing w:before="0" w:after="120"/>
        <w:jc w:val="both"/>
      </w:pPr>
      <w:r>
        <w:rPr>
          <w:rFonts w:ascii="Arial" w:hAnsi="Arial"/>
          <w:b w:val="0"/>
          <w:i w:val="0"/>
          <w:color w:val="000000"/>
          <w:sz w:val="21"/>
        </w:rPr>
        <w:t>The Working Group of Experts on People of African Descent was established by the UN Human Rights Council and has issued reports on systematic racism against Black Americans, recommending reparations and structural reform. The Working Group conducts country visits and receives submissions from civil society. Its 2016 report on the United States found that the historical injustices committed against African Americans continue to have present-day consequences and that reparatory justice is a human rights imperative.</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American Declaration of the Rights and Duties of Man (OAS, 1948). ICCPR, ratified by U.S. 1992. UNDRIP, endorsed by U.S. 2010. ILO Convention No. 169. UN Working Group Report on People of African Descent, A/HRC/33/61 (2016).</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FOUR</w:t>
      </w:r>
    </w:p>
    <w:p>
      <w:pPr>
        <w:spacing w:before="0" w:after="120"/>
        <w:jc w:val="center"/>
      </w:pPr>
      <w:r>
        <w:rPr>
          <w:rFonts w:ascii="Arial" w:hAnsi="Arial"/>
          <w:b/>
          <w:i w:val="0"/>
          <w:color w:val="222244"/>
          <w:sz w:val="22"/>
        </w:rPr>
        <w:t>CULTURAL RIGHTS AND THE PROTECTION OF SACRED KNOWLEDGE</w:t>
      </w:r>
    </w:p>
    <w:p>
      <w:pPr>
        <w:spacing w:before="280" w:after="80"/>
        <w:jc w:val="left"/>
        <w:pBdr>
          <w:bottom w:val="single" w:sz="4" w:space="1" w:color="1a1a2e"/>
        </w:pBdr>
      </w:pPr>
      <w:r>
        <w:rPr>
          <w:rFonts w:ascii="Arial" w:hAnsi="Arial"/>
          <w:b/>
          <w:i w:val="0"/>
          <w:color w:val="1A1A2E"/>
          <w:sz w:val="24"/>
        </w:rPr>
        <w:t>THE RIGHT TO CULTURAL IDENTITY AND PRACTICE</w:t>
      </w:r>
    </w:p>
    <w:p>
      <w:pPr>
        <w:spacing w:before="0" w:after="120"/>
        <w:jc w:val="both"/>
      </w:pPr>
      <w:r>
        <w:rPr>
          <w:rFonts w:ascii="Arial" w:hAnsi="Arial"/>
          <w:b w:val="0"/>
          <w:i w:val="0"/>
          <w:color w:val="000000"/>
          <w:sz w:val="21"/>
        </w:rPr>
        <w:t>Cultural rights are human rights. The right to maintain, practice, and transmit one's cultural heritage — including sacred traditions, spiritual practices, ancestral languages, and traditional knowledge — is recognized under both domestic and international law. For the living being of African descent, these rights address one of the deepest injuries of slavery: the systematic suppression and erasure of African cultural identity.</w:t>
      </w:r>
    </w:p>
    <w:p>
      <w:pPr>
        <w:spacing w:before="200" w:after="60"/>
        <w:jc w:val="left"/>
      </w:pPr>
      <w:r>
        <w:rPr>
          <w:rFonts w:ascii="Arial" w:hAnsi="Arial"/>
          <w:b/>
          <w:i w:val="0"/>
          <w:color w:val="222244"/>
          <w:sz w:val="22"/>
        </w:rPr>
        <w:t>Domestic Protection of Cultural Rights</w:t>
      </w:r>
    </w:p>
    <w:p>
      <w:pPr>
        <w:spacing w:before="100" w:after="60"/>
        <w:jc w:val="both"/>
      </w:pPr>
      <w:r>
        <w:rPr>
          <w:rFonts w:ascii="Arial" w:hAnsi="Arial"/>
          <w:b/>
          <w:i w:val="0"/>
          <w:color w:val="222244"/>
          <w:sz w:val="21"/>
        </w:rPr>
        <w:t xml:space="preserve">First Amendment:  </w:t>
      </w:r>
      <w:r>
        <w:rPr>
          <w:rFonts w:ascii="Arial" w:hAnsi="Arial"/>
          <w:b w:val="0"/>
          <w:i w:val="0"/>
          <w:color w:val="000000"/>
          <w:sz w:val="21"/>
        </w:rPr>
        <w:t>Protects the free exercise of religious and spiritual practice, including African ancestral traditions, indigenous ceremonies, and the cosmological framework of the Doctrine of Pre-Political Sovereign Being.</w:t>
      </w:r>
    </w:p>
    <w:p>
      <w:pPr>
        <w:spacing w:before="100" w:after="60"/>
        <w:jc w:val="both"/>
      </w:pPr>
      <w:r>
        <w:rPr>
          <w:rFonts w:ascii="Arial" w:hAnsi="Arial"/>
          <w:b/>
          <w:i w:val="0"/>
          <w:color w:val="222244"/>
          <w:sz w:val="21"/>
        </w:rPr>
        <w:t xml:space="preserve">RFRA:  </w:t>
      </w:r>
      <w:r>
        <w:rPr>
          <w:rFonts w:ascii="Arial" w:hAnsi="Arial"/>
          <w:b w:val="0"/>
          <w:i w:val="0"/>
          <w:color w:val="000000"/>
          <w:sz w:val="21"/>
        </w:rPr>
        <w:t>Protects sincerely held religious belief from substantial government burden without compelling justification, including the practice of African sacred traditions that may be targeted by neutral laws.</w:t>
      </w:r>
    </w:p>
    <w:p>
      <w:pPr>
        <w:spacing w:before="100" w:after="60"/>
        <w:jc w:val="both"/>
      </w:pPr>
      <w:r>
        <w:rPr>
          <w:rFonts w:ascii="Arial" w:hAnsi="Arial"/>
          <w:b/>
          <w:i w:val="0"/>
          <w:color w:val="222244"/>
          <w:sz w:val="21"/>
        </w:rPr>
        <w:t xml:space="preserve">Title VI:  </w:t>
      </w:r>
      <w:r>
        <w:rPr>
          <w:rFonts w:ascii="Arial" w:hAnsi="Arial"/>
          <w:b w:val="0"/>
          <w:i w:val="0"/>
          <w:color w:val="000000"/>
          <w:sz w:val="21"/>
        </w:rPr>
        <w:t>Prohibits cultural discrimination in federally funded programs including education, which historically suppressed African cultural expression and identity.</w:t>
      </w:r>
    </w:p>
    <w:p>
      <w:pPr>
        <w:spacing w:before="100" w:after="60"/>
        <w:jc w:val="both"/>
      </w:pPr>
      <w:r>
        <w:rPr>
          <w:rFonts w:ascii="Arial" w:hAnsi="Arial"/>
          <w:b/>
          <w:i w:val="0"/>
          <w:color w:val="222244"/>
          <w:sz w:val="21"/>
        </w:rPr>
        <w:t xml:space="preserve">Native American Graves Protection and Repatriation Act (NAGPRA):  </w:t>
      </w:r>
      <w:r>
        <w:rPr>
          <w:rFonts w:ascii="Arial" w:hAnsi="Arial"/>
          <w:b w:val="0"/>
          <w:i w:val="0"/>
          <w:color w:val="000000"/>
          <w:sz w:val="21"/>
        </w:rPr>
        <w:t>While specifically applicable to Native American remains and cultural items, NAGPRA establishes the principle that sacred cultural objects belong to the communities from which they originate, a principle with broader applicability.</w:t>
      </w:r>
    </w:p>
    <w:p>
      <w:pPr>
        <w:spacing w:before="200" w:after="60"/>
        <w:jc w:val="left"/>
      </w:pPr>
      <w:r>
        <w:rPr>
          <w:rFonts w:ascii="Arial" w:hAnsi="Arial"/>
          <w:b/>
          <w:i w:val="0"/>
          <w:color w:val="222244"/>
          <w:sz w:val="22"/>
        </w:rPr>
        <w:t>International Protection of Cultural Rights</w:t>
      </w:r>
    </w:p>
    <w:p>
      <w:pPr>
        <w:pStyle w:val="ListBullet"/>
        <w:spacing w:after="60"/>
        <w:ind w:left="576"/>
      </w:pPr>
      <w:r>
        <w:rPr>
          <w:rFonts w:ascii="Arial" w:hAnsi="Arial"/>
          <w:sz w:val="21"/>
        </w:rPr>
        <w:t>UNDRIP, Article 11: Indigenous peoples have the right to practice and revitalize their cultural traditions and customs, including the right to maintain, protect, and develop their cultural heritage.</w:t>
      </w:r>
    </w:p>
    <w:p>
      <w:pPr>
        <w:pStyle w:val="ListBullet"/>
        <w:spacing w:after="60"/>
        <w:ind w:left="576"/>
      </w:pPr>
      <w:r>
        <w:rPr>
          <w:rFonts w:ascii="Arial" w:hAnsi="Arial"/>
          <w:sz w:val="21"/>
        </w:rPr>
        <w:t>UNDRIP, Article 12: Indigenous peoples have the right to manifest, practice, develop, and teach their spiritual and religious traditions, customs, and ceremonies.</w:t>
      </w:r>
    </w:p>
    <w:p>
      <w:pPr>
        <w:pStyle w:val="ListBullet"/>
        <w:spacing w:after="60"/>
        <w:ind w:left="576"/>
      </w:pPr>
      <w:r>
        <w:rPr>
          <w:rFonts w:ascii="Arial" w:hAnsi="Arial"/>
          <w:sz w:val="21"/>
        </w:rPr>
        <w:t>ICCPR, Article 27: Persons belonging to ethnic, religious, or linguistic minorities shall not be denied the right, in community with other members of their group, to enjoy their own culture, to profess and practice their own religion, or to use their own language.</w:t>
      </w:r>
    </w:p>
    <w:p>
      <w:pPr>
        <w:pStyle w:val="ListBullet"/>
        <w:spacing w:after="60"/>
        <w:ind w:left="576"/>
      </w:pPr>
      <w:r>
        <w:rPr>
          <w:rFonts w:ascii="Arial" w:hAnsi="Arial"/>
          <w:sz w:val="21"/>
        </w:rPr>
        <w:t>UNESCO Convention on the Safeguarding of the Intangible Cultural Heritage (2003): Protects oral traditions, performing arts, social practices, rituals, and knowledge and practices concerning nature and the universe.</w:t>
      </w:r>
    </w:p>
    <w:p>
      <w:pPr>
        <w:pStyle w:val="ListBullet"/>
        <w:spacing w:after="60"/>
        <w:ind w:left="576"/>
      </w:pPr>
      <w:r>
        <w:rPr>
          <w:rFonts w:ascii="Arial" w:hAnsi="Arial"/>
          <w:sz w:val="21"/>
        </w:rPr>
        <w:t>UN Declaration on the Rights of Persons Belonging to National or Ethnic, Religious and Linguistic Minorities (1992): Protects the right to enjoy one's own culture and to participate in cultural life.</w:t>
      </w:r>
    </w:p>
    <w:p>
      <w:pPr>
        <w:spacing w:before="280" w:after="80"/>
        <w:jc w:val="left"/>
        <w:pBdr>
          <w:bottom w:val="single" w:sz="4" w:space="1" w:color="1a1a2e"/>
        </w:pBdr>
      </w:pPr>
      <w:r>
        <w:rPr>
          <w:rFonts w:ascii="Arial" w:hAnsi="Arial"/>
          <w:b/>
          <w:i w:val="0"/>
          <w:color w:val="1A1A2E"/>
          <w:sz w:val="24"/>
        </w:rPr>
        <w:t>THE PROTECTION OF SACRED KNOWLEDGE AND INTELLECTUAL HERITAGE</w:t>
      </w:r>
    </w:p>
    <w:p>
      <w:pPr>
        <w:spacing w:before="0" w:after="120"/>
        <w:jc w:val="both"/>
      </w:pPr>
      <w:r>
        <w:rPr>
          <w:rFonts w:ascii="Arial" w:hAnsi="Arial"/>
          <w:b w:val="0"/>
          <w:i w:val="0"/>
          <w:color w:val="000000"/>
          <w:sz w:val="21"/>
        </w:rPr>
        <w:t>The sacred knowledge contained in the Doctrine of Pre-Political Sovereign Being — the Bio-Cosmic Generator framework, the Sacred Geometry tradition, the seven volumes of The Sovereign Self — constitutes both intellectual property protected under domestic copyright law and cultural heritage protected under international instruments.</w:t>
      </w:r>
    </w:p>
    <w:p>
      <w:pPr>
        <w:spacing w:before="200" w:after="60"/>
        <w:jc w:val="left"/>
      </w:pPr>
      <w:r>
        <w:rPr>
          <w:rFonts w:ascii="Arial" w:hAnsi="Arial"/>
          <w:b/>
          <w:i w:val="0"/>
          <w:color w:val="222244"/>
          <w:sz w:val="22"/>
        </w:rPr>
        <w:t>Intellectual Property Protection</w:t>
      </w:r>
    </w:p>
    <w:p>
      <w:pPr>
        <w:spacing w:before="0" w:after="120"/>
        <w:jc w:val="both"/>
      </w:pPr>
      <w:r>
        <w:rPr>
          <w:rFonts w:ascii="Arial" w:hAnsi="Arial"/>
          <w:b w:val="0"/>
          <w:i w:val="0"/>
          <w:color w:val="000000"/>
          <w:sz w:val="21"/>
        </w:rPr>
        <w:t>Copyright in original works of authorship vests automatically upon creation and fixation in tangible form. 17 U.S.C. section 102. Registration with the U.S. Copyright Office provides additional benefits including the ability to sue for statutory damages and attorney fees. The seven volumes of The Sovereign Self, the Bio-Cosmic Generator documents, and all related original scholarly work are protected by copyright from the moment of creation.</w:t>
      </w:r>
    </w:p>
    <w:p>
      <w:pPr>
        <w:spacing w:before="80" w:after="40"/>
        <w:ind w:left="288"/>
        <w:jc w:val="left"/>
      </w:pPr>
      <w:r>
        <w:rPr>
          <w:rFonts w:ascii="Arial" w:hAnsi="Arial"/>
          <w:b/>
          <w:i w:val="0"/>
          <w:color w:val="004D00"/>
          <w:sz w:val="20"/>
        </w:rPr>
        <w:t xml:space="preserve">REGISTER NOW:  </w:t>
      </w:r>
      <w:r>
        <w:rPr>
          <w:rFonts w:ascii="Arial" w:hAnsi="Arial"/>
          <w:b w:val="0"/>
          <w:i/>
          <w:color w:val="222244"/>
          <w:sz w:val="21"/>
        </w:rPr>
        <w:t>Register your original works at copyright.gov. Registration is inexpensive and creates a public record of authorship and creation date. For works already created, registration within three months of publication or before infringement preserves the right to statutory damages.</w:t>
      </w:r>
    </w:p>
    <w:p>
      <w:pPr>
        <w:spacing w:before="200" w:after="60"/>
        <w:jc w:val="left"/>
      </w:pPr>
      <w:r>
        <w:rPr>
          <w:rFonts w:ascii="Arial" w:hAnsi="Arial"/>
          <w:b/>
          <w:i w:val="0"/>
          <w:color w:val="222244"/>
          <w:sz w:val="22"/>
        </w:rPr>
        <w:t>Traditional Knowledge and the International Framework</w:t>
      </w:r>
    </w:p>
    <w:p>
      <w:pPr>
        <w:spacing w:before="0" w:after="120"/>
        <w:jc w:val="both"/>
      </w:pPr>
      <w:r>
        <w:rPr>
          <w:rFonts w:ascii="Arial" w:hAnsi="Arial"/>
          <w:b w:val="0"/>
          <w:i w:val="0"/>
          <w:color w:val="000000"/>
          <w:sz w:val="21"/>
        </w:rPr>
        <w:t>The Intergovernmental Committee on Intellectual Property and Genetic Resources, Traditional Knowledge and Folklore of the World Intellectual Property Organization is developing international instruments for the protection of traditional knowledge and traditional cultural expressions. While these instruments are not yet in force, they represent the international community's recognition that indigenous and traditional knowledge systems deserve legal protection equivalent to that afforded to Western intellectual property.</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FIVE</w:t>
      </w:r>
    </w:p>
    <w:p>
      <w:pPr>
        <w:spacing w:before="0" w:after="120"/>
        <w:jc w:val="center"/>
      </w:pPr>
      <w:r>
        <w:rPr>
          <w:rFonts w:ascii="Arial" w:hAnsi="Arial"/>
          <w:b/>
          <w:i w:val="0"/>
          <w:color w:val="222244"/>
          <w:sz w:val="22"/>
        </w:rPr>
        <w:t>INTERNATIONAL PETITION FRAMEWORK</w:t>
      </w:r>
    </w:p>
    <w:p>
      <w:pPr>
        <w:spacing w:before="160" w:after="80"/>
        <w:jc w:val="center"/>
      </w:pPr>
      <w:r>
        <w:rPr>
          <w:rFonts w:ascii="Arial" w:hAnsi="Arial"/>
          <w:b/>
          <w:i w:val="0"/>
          <w:color w:val="1A1A2E"/>
          <w:sz w:val="22"/>
        </w:rPr>
        <w:t>FRAMEWORK: PETITION TO THE INTER-AMERICAN COMMISSION ON HUMAN RIGHTS</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PETITION TO THE INTER-AMERICAN COMMISSION ON HUMAN RIGHTS</w:t>
      </w:r>
    </w:p>
    <w:p>
      <w:pPr>
        <w:spacing w:before="0" w:after="100"/>
        <w:ind w:left="432" w:right="432"/>
        <w:jc w:val="both"/>
      </w:pPr>
      <w:r>
        <w:rPr>
          <w:rFonts w:ascii="Arial" w:hAnsi="Arial"/>
          <w:b w:val="0"/>
          <w:i/>
          <w:color w:val="222244"/>
          <w:sz w:val="21"/>
        </w:rPr>
        <w:t>Organization of American States</w:t>
      </w:r>
    </w:p>
    <w:p>
      <w:pPr>
        <w:spacing w:before="0" w:after="100"/>
        <w:ind w:left="432" w:right="432"/>
        <w:jc w:val="both"/>
      </w:pPr>
      <w:r>
        <w:rPr>
          <w:rFonts w:ascii="Arial" w:hAnsi="Arial"/>
          <w:b w:val="0"/>
          <w:i/>
          <w:color w:val="222244"/>
          <w:sz w:val="21"/>
        </w:rPr>
        <w:t>Petitioner: [YOUR NAME], Living Being, Citizen of the United States</w:t>
      </w:r>
    </w:p>
    <w:p>
      <w:pPr>
        <w:spacing w:before="0" w:after="100"/>
        <w:ind w:left="432" w:right="432"/>
        <w:jc w:val="both"/>
      </w:pPr>
      <w:r>
        <w:rPr>
          <w:rFonts w:ascii="Arial" w:hAnsi="Arial"/>
          <w:b w:val="0"/>
          <w:i/>
          <w:color w:val="222244"/>
          <w:sz w:val="21"/>
        </w:rPr>
        <w:t>Respondent State: United States of America</w:t>
      </w:r>
    </w:p>
    <w:p>
      <w:pPr>
        <w:spacing w:before="0" w:after="100"/>
        <w:ind w:left="432" w:right="432"/>
        <w:jc w:val="both"/>
      </w:pPr>
      <w:r>
        <w:rPr>
          <w:rFonts w:ascii="Arial" w:hAnsi="Arial"/>
          <w:b w:val="0"/>
          <w:i/>
          <w:color w:val="222244"/>
          <w:sz w:val="21"/>
        </w:rPr>
        <w:t>Date: [DATE]</w:t>
      </w:r>
    </w:p>
    <w:p>
      <w:pPr>
        <w:spacing w:before="0" w:after="100"/>
        <w:ind w:left="432" w:right="432"/>
        <w:jc w:val="both"/>
      </w:pPr>
      <w:r>
        <w:rPr>
          <w:rFonts w:ascii="Arial" w:hAnsi="Arial"/>
          <w:b w:val="0"/>
          <w:i/>
          <w:color w:val="222244"/>
          <w:sz w:val="21"/>
        </w:rPr>
        <w:t>I. IDENTIFICATION OF THE PETITIONER</w:t>
      </w:r>
    </w:p>
    <w:p>
      <w:pPr>
        <w:spacing w:before="0" w:after="100"/>
        <w:ind w:left="432" w:right="432"/>
        <w:jc w:val="both"/>
      </w:pPr>
      <w:r>
        <w:rPr>
          <w:rFonts w:ascii="Arial" w:hAnsi="Arial"/>
          <w:b w:val="0"/>
          <w:i/>
          <w:color w:val="222244"/>
          <w:sz w:val="21"/>
        </w:rPr>
        <w:t>[YOUR NAME] is a living being of African descent, residing in Athens, Georgia, United States of America. The Petitioner holds a sincerely held religious and spiritual belief, documented across seven volumes of published scholarship, that the living being exists as a pre-political expression of Divine Creation with an ancestral spiritual relationship to this land that predates and exists independently of the State.</w:t>
      </w:r>
    </w:p>
    <w:p>
      <w:pPr>
        <w:spacing w:before="0" w:after="100"/>
        <w:ind w:left="432" w:right="432"/>
        <w:jc w:val="both"/>
      </w:pPr>
      <w:r>
        <w:rPr>
          <w:rFonts w:ascii="Arial" w:hAnsi="Arial"/>
          <w:b w:val="0"/>
          <w:i/>
          <w:color w:val="222244"/>
          <w:sz w:val="21"/>
        </w:rPr>
        <w:t>II. FACTS GIVING RISE TO THE PETITION</w:t>
      </w:r>
    </w:p>
    <w:p>
      <w:pPr>
        <w:spacing w:before="0" w:after="100"/>
        <w:ind w:left="432" w:right="432"/>
        <w:jc w:val="both"/>
      </w:pPr>
      <w:r>
        <w:rPr>
          <w:rFonts w:ascii="Arial" w:hAnsi="Arial"/>
          <w:b w:val="0"/>
          <w:i/>
          <w:color w:val="222244"/>
          <w:sz w:val="21"/>
        </w:rPr>
        <w:t>[Describe the specific facts: the violation that occurred, when it occurred, who was responsible, what harm resulted, and what domestic remedies were sought and why they were inadequate or unavailable.]</w:t>
      </w:r>
    </w:p>
    <w:p>
      <w:pPr>
        <w:spacing w:before="0" w:after="100"/>
        <w:ind w:left="432" w:right="432"/>
        <w:jc w:val="both"/>
      </w:pPr>
      <w:r>
        <w:rPr>
          <w:rFonts w:ascii="Arial" w:hAnsi="Arial"/>
          <w:b w:val="0"/>
          <w:i/>
          <w:color w:val="222244"/>
          <w:sz w:val="21"/>
        </w:rPr>
        <w:t>III. RIGHTS VIOLATED</w:t>
      </w:r>
    </w:p>
    <w:p>
      <w:pPr>
        <w:spacing w:before="0" w:after="100"/>
        <w:ind w:left="432" w:right="432"/>
        <w:jc w:val="both"/>
      </w:pPr>
      <w:r>
        <w:rPr>
          <w:rFonts w:ascii="Arial" w:hAnsi="Arial"/>
          <w:b w:val="0"/>
          <w:i/>
          <w:color w:val="222244"/>
          <w:sz w:val="21"/>
        </w:rPr>
        <w:t>The Respondent State has violated the following rights guaranteed under the American Declaration of the Rights and Duties of Man: Article I (Right to Life, Liberty and Personal Security); Article II (Right to Equality Before the Law); Article III (Right to Religious Freedom and Worship); Article XVIII (Right to a Fair Trial); Article XXIII (Right to Property); and such other rights as the Commission may find applicable.</w:t>
      </w:r>
    </w:p>
    <w:p>
      <w:pPr>
        <w:spacing w:before="0" w:after="100"/>
        <w:ind w:left="432" w:right="432"/>
        <w:jc w:val="both"/>
      </w:pPr>
      <w:r>
        <w:rPr>
          <w:rFonts w:ascii="Arial" w:hAnsi="Arial"/>
          <w:b w:val="0"/>
          <w:i/>
          <w:color w:val="222244"/>
          <w:sz w:val="21"/>
        </w:rPr>
        <w:t>IV. EXHAUSTION OF DOMESTIC REMEDIES</w:t>
      </w:r>
    </w:p>
    <w:p>
      <w:pPr>
        <w:spacing w:before="0" w:after="100"/>
        <w:ind w:left="432" w:right="432"/>
        <w:jc w:val="both"/>
      </w:pPr>
      <w:r>
        <w:rPr>
          <w:rFonts w:ascii="Arial" w:hAnsi="Arial"/>
          <w:b w:val="0"/>
          <w:i/>
          <w:color w:val="222244"/>
          <w:sz w:val="21"/>
        </w:rPr>
        <w:t>[Describe the domestic remedies pursued and why they were insufficient to redress the violation. If domestic remedies were not pursued, explain why they were unavailable, futile, or inadequate given the nature of the violation.]</w:t>
      </w:r>
    </w:p>
    <w:p>
      <w:pPr>
        <w:spacing w:before="0" w:after="100"/>
        <w:ind w:left="432" w:right="432"/>
        <w:jc w:val="both"/>
      </w:pPr>
      <w:r>
        <w:rPr>
          <w:rFonts w:ascii="Arial" w:hAnsi="Arial"/>
          <w:b w:val="0"/>
          <w:i/>
          <w:color w:val="222244"/>
          <w:sz w:val="21"/>
        </w:rPr>
        <w:t>V. RELIEF REQUESTED</w:t>
      </w:r>
    </w:p>
    <w:p>
      <w:pPr>
        <w:spacing w:before="0" w:after="100"/>
        <w:ind w:left="432" w:right="432"/>
        <w:jc w:val="both"/>
      </w:pPr>
      <w:r>
        <w:rPr>
          <w:rFonts w:ascii="Arial" w:hAnsi="Arial"/>
          <w:b w:val="0"/>
          <w:i/>
          <w:color w:val="222244"/>
          <w:sz w:val="21"/>
        </w:rPr>
        <w:t>The Petitioner respectfully requests that the Commission: (1) Accept this petition and conduct an investigation; (2) Find that the Respondent State has violated the rights enumerated above; (3) Recommend that the Respondent State provide full reparation for the harm suffered; (4) Issue a report that creates a permanent international record of this violation; (5) Such other relief as the Commission deems appropriate.</w:t>
      </w:r>
    </w:p>
    <w:p>
      <w:pPr>
        <w:spacing w:before="0" w:after="100"/>
        <w:ind w:left="432" w:right="432"/>
        <w:jc w:val="both"/>
      </w:pPr>
      <w:r>
        <w:rPr>
          <w:rFonts w:ascii="Arial" w:hAnsi="Arial"/>
          <w:b w:val="0"/>
          <w:i/>
          <w:color w:val="222244"/>
          <w:sz w:val="21"/>
        </w:rPr>
        <w:t>[YOUR NAME] | [DATE] | Athens, Georgia | [CONTACT INFORMATION]</w:t>
      </w:r>
    </w:p>
    <w:p>
      <w:pPr>
        <w:spacing w:before="120" w:after="120"/>
        <w:jc w:val="center"/>
        <w:pBdr>
          <w:bottom w:val="single" w:sz="2" w:space="1" w:color="888888"/>
        </w:pBdr>
      </w:pPr>
    </w:p>
    <w:p>
      <w:pPr>
        <w:spacing w:before="160" w:after="80"/>
        <w:jc w:val="center"/>
      </w:pPr>
      <w:r>
        <w:rPr>
          <w:rFonts w:ascii="Arial" w:hAnsi="Arial"/>
          <w:b/>
          <w:i w:val="0"/>
          <w:color w:val="1A1A2E"/>
          <w:sz w:val="22"/>
        </w:rPr>
        <w:t>FRAMEWORK: COMMUNICATION TO UN SPECIAL RAPPORTEUR</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To: [Relevant Special Rapporteur, e.g., Special Rapporteur on Contemporary Forms of Racism / Special Rapporteur on the Rights of Indigenous Peoples / Working Group of Experts on People of African Descent]</w:t>
      </w:r>
    </w:p>
    <w:p>
      <w:pPr>
        <w:spacing w:before="0" w:after="100"/>
        <w:ind w:left="432" w:right="432"/>
        <w:jc w:val="both"/>
      </w:pPr>
      <w:r>
        <w:rPr>
          <w:rFonts w:ascii="Arial" w:hAnsi="Arial"/>
          <w:b w:val="0"/>
          <w:i/>
          <w:color w:val="222244"/>
          <w:sz w:val="21"/>
        </w:rPr>
        <w:t>From: [YOUR NAME], Living Being, Athens, Georgia, United States</w:t>
      </w:r>
    </w:p>
    <w:p>
      <w:pPr>
        <w:spacing w:before="0" w:after="100"/>
        <w:ind w:left="432" w:right="432"/>
        <w:jc w:val="both"/>
      </w:pPr>
      <w:r>
        <w:rPr>
          <w:rFonts w:ascii="Arial" w:hAnsi="Arial"/>
          <w:b w:val="0"/>
          <w:i/>
          <w:color w:val="222244"/>
          <w:sz w:val="21"/>
        </w:rPr>
        <w:t>Date: [DATE]</w:t>
      </w:r>
    </w:p>
    <w:p>
      <w:pPr>
        <w:spacing w:before="0" w:after="100"/>
        <w:ind w:left="432" w:right="432"/>
        <w:jc w:val="both"/>
      </w:pPr>
      <w:r>
        <w:rPr>
          <w:rFonts w:ascii="Arial" w:hAnsi="Arial"/>
          <w:b w:val="0"/>
          <w:i/>
          <w:color w:val="222244"/>
          <w:sz w:val="21"/>
        </w:rPr>
        <w:t>Re: Communication Regarding [Description of Violation]</w:t>
      </w:r>
    </w:p>
    <w:p>
      <w:pPr>
        <w:spacing w:before="0" w:after="100"/>
        <w:ind w:left="432" w:right="432"/>
        <w:jc w:val="both"/>
      </w:pPr>
      <w:r>
        <w:rPr>
          <w:rFonts w:ascii="Arial" w:hAnsi="Arial"/>
          <w:b w:val="0"/>
          <w:i/>
          <w:color w:val="222244"/>
          <w:sz w:val="21"/>
        </w:rPr>
        <w:t>I write to bring to your attention a human rights violation affecting a living being of African descent in the United States that falls within your mandate.</w:t>
      </w:r>
    </w:p>
    <w:p>
      <w:pPr>
        <w:spacing w:before="0" w:after="100"/>
        <w:ind w:left="432" w:right="432"/>
        <w:jc w:val="both"/>
      </w:pPr>
      <w:r>
        <w:rPr>
          <w:rFonts w:ascii="Arial" w:hAnsi="Arial"/>
          <w:b w:val="0"/>
          <w:i/>
          <w:color w:val="222244"/>
          <w:sz w:val="21"/>
        </w:rPr>
        <w:t>DESCRIPTION OF VIOLATION: [Describe the specific violation, including dates, actors, conduct, and harm suffered.]</w:t>
      </w:r>
    </w:p>
    <w:p>
      <w:pPr>
        <w:spacing w:before="0" w:after="100"/>
        <w:ind w:left="432" w:right="432"/>
        <w:jc w:val="both"/>
      </w:pPr>
      <w:r>
        <w:rPr>
          <w:rFonts w:ascii="Arial" w:hAnsi="Arial"/>
          <w:b w:val="0"/>
          <w:i/>
          <w:color w:val="222244"/>
          <w:sz w:val="21"/>
        </w:rPr>
        <w:t>LEGAL FRAMEWORK VIOLATED: [Identify the specific international instruments violated: ICCPR Article [X]; UNDRIP Article [X]; UDHR Article [X]; etc.]</w:t>
      </w:r>
    </w:p>
    <w:p>
      <w:pPr>
        <w:spacing w:before="0" w:after="100"/>
        <w:ind w:left="432" w:right="432"/>
        <w:jc w:val="both"/>
      </w:pPr>
      <w:r>
        <w:rPr>
          <w:rFonts w:ascii="Arial" w:hAnsi="Arial"/>
          <w:b w:val="0"/>
          <w:i/>
          <w:color w:val="222244"/>
          <w:sz w:val="21"/>
        </w:rPr>
        <w:t>DOMESTIC REMEDIES SOUGHT: [Describe what domestic remedies were pursued and why they were inadequate.]</w:t>
      </w:r>
    </w:p>
    <w:p>
      <w:pPr>
        <w:spacing w:before="0" w:after="100"/>
        <w:ind w:left="432" w:right="432"/>
        <w:jc w:val="both"/>
      </w:pPr>
      <w:r>
        <w:rPr>
          <w:rFonts w:ascii="Arial" w:hAnsi="Arial"/>
          <w:b w:val="0"/>
          <w:i/>
          <w:color w:val="222244"/>
          <w:sz w:val="21"/>
        </w:rPr>
        <w:t>RELIEF REQUESTED: I respectfully request that your office: (1) Send an urgent appeal to the Government of the United States requesting information about this matter; (2) Include this situation in your next report to the Human Rights Council; (3) Such other action as falls within your mandate.</w:t>
      </w:r>
    </w:p>
    <w:p>
      <w:pPr>
        <w:spacing w:before="0" w:after="100"/>
        <w:ind w:left="432" w:right="432"/>
        <w:jc w:val="both"/>
      </w:pPr>
      <w:r>
        <w:rPr>
          <w:rFonts w:ascii="Arial" w:hAnsi="Arial"/>
          <w:b w:val="0"/>
          <w:i/>
          <w:color w:val="222244"/>
          <w:sz w:val="21"/>
        </w:rPr>
        <w:t>[YOUR NAME] | [DATE] | [CONTACT INFORMATION]</w:t>
      </w:r>
    </w:p>
    <w:p>
      <w:r>
        <w:br w:type="page"/>
      </w:r>
    </w:p>
    <w:p>
      <w:pPr>
        <w:spacing w:before="0" w:after="80"/>
        <w:jc w:val="center"/>
      </w:pPr>
      <w:r>
        <w:rPr>
          <w:rFonts w:ascii="Arial" w:hAnsi="Arial"/>
          <w:b/>
          <w:i w:val="0"/>
          <w:color w:val="1A1A2E"/>
          <w:sz w:val="26"/>
        </w:rPr>
        <w:t>PART SIX</w:t>
      </w:r>
    </w:p>
    <w:p>
      <w:pPr>
        <w:spacing w:before="0" w:after="120"/>
        <w:jc w:val="center"/>
      </w:pPr>
      <w:r>
        <w:rPr>
          <w:rFonts w:ascii="Arial" w:hAnsi="Arial"/>
          <w:b/>
          <w:i w:val="0"/>
          <w:color w:val="222244"/>
          <w:sz w:val="22"/>
        </w:rPr>
        <w:t>COMPLETE 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Lyng v. Northwest Indian Cemetery Protective Ass'n, 485 U.S. 439 (1988)</w:t>
      </w:r>
    </w:p>
    <w:p>
      <w:pPr>
        <w:pStyle w:val="ListBullet"/>
        <w:spacing w:after="60"/>
        <w:ind w:left="576"/>
      </w:pPr>
      <w:r>
        <w:rPr>
          <w:rFonts w:ascii="Arial" w:hAnsi="Arial"/>
          <w:sz w:val="21"/>
        </w:rPr>
        <w:t>Runyon v. McCrary, 427 U.S. 160 (1976)</w:t>
      </w:r>
    </w:p>
    <w:p>
      <w:pPr>
        <w:pStyle w:val="ListBullet"/>
        <w:spacing w:after="60"/>
        <w:ind w:left="576"/>
      </w:pPr>
      <w:r>
        <w:rPr>
          <w:rFonts w:ascii="Arial" w:hAnsi="Arial"/>
          <w:sz w:val="21"/>
        </w:rPr>
        <w:t>Worcester v. Georgia, 31 U.S. 515 (1832)</w:t>
      </w:r>
    </w:p>
    <w:p>
      <w:pPr>
        <w:pStyle w:val="ListBullet"/>
        <w:spacing w:after="60"/>
        <w:ind w:left="576"/>
      </w:pPr>
      <w:r>
        <w:rPr>
          <w:rFonts w:ascii="Arial" w:hAnsi="Arial"/>
          <w:sz w:val="21"/>
        </w:rPr>
        <w:t>Gonzales v. O Centro Espirita Beneficente Uniao do Vegetal, 546 U.S. 418 (2006)</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I (Free Exercise of Religion)</w:t>
      </w:r>
    </w:p>
    <w:p>
      <w:pPr>
        <w:pStyle w:val="ListBullet"/>
        <w:spacing w:after="60"/>
        <w:ind w:left="576"/>
      </w:pPr>
      <w:r>
        <w:rPr>
          <w:rFonts w:ascii="Arial" w:hAnsi="Arial"/>
          <w:sz w:val="21"/>
        </w:rPr>
        <w:t>U.S. Const. amend. XIII (Badges and Incidents of Slavery)</w:t>
      </w:r>
    </w:p>
    <w:p>
      <w:pPr>
        <w:pStyle w:val="ListBullet"/>
        <w:spacing w:after="60"/>
        <w:ind w:left="576"/>
      </w:pPr>
      <w:r>
        <w:rPr>
          <w:rFonts w:ascii="Arial" w:hAnsi="Arial"/>
          <w:sz w:val="21"/>
        </w:rPr>
        <w:t>U.S. Const. amend. XIV (Equal Protection)</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42 U.S.C. section 1982 (Property Rights of Citizens)</w:t>
      </w:r>
    </w:p>
    <w:p>
      <w:pPr>
        <w:pStyle w:val="ListBullet"/>
        <w:spacing w:after="60"/>
        <w:ind w:left="576"/>
      </w:pPr>
      <w:r>
        <w:rPr>
          <w:rFonts w:ascii="Arial" w:hAnsi="Arial"/>
          <w:sz w:val="21"/>
        </w:rPr>
        <w:t>42 U.S.C. section 1983 (Civil Action for Deprivation of Rights)</w:t>
      </w:r>
    </w:p>
    <w:p>
      <w:pPr>
        <w:pStyle w:val="ListBullet"/>
        <w:spacing w:after="60"/>
        <w:ind w:left="576"/>
      </w:pPr>
      <w:r>
        <w:rPr>
          <w:rFonts w:ascii="Arial" w:hAnsi="Arial"/>
          <w:sz w:val="21"/>
        </w:rPr>
        <w:t>Fair Housing Act, 42 U.S.C. sections 3601 et seq.</w:t>
      </w:r>
    </w:p>
    <w:p>
      <w:pPr>
        <w:pStyle w:val="ListBullet"/>
        <w:spacing w:after="60"/>
        <w:ind w:left="576"/>
      </w:pPr>
      <w:r>
        <w:rPr>
          <w:rFonts w:ascii="Arial" w:hAnsi="Arial"/>
          <w:sz w:val="21"/>
        </w:rPr>
        <w:t>Title VI of the Civil Rights Act, 42 U.S.C. section 2000d</w:t>
      </w:r>
    </w:p>
    <w:p>
      <w:pPr>
        <w:pStyle w:val="ListBullet"/>
        <w:spacing w:after="60"/>
        <w:ind w:left="576"/>
      </w:pPr>
      <w:r>
        <w:rPr>
          <w:rFonts w:ascii="Arial" w:hAnsi="Arial"/>
          <w:sz w:val="21"/>
        </w:rPr>
        <w:t>National Environmental Policy Act, 42 U.S.C. sections 4321 et seq.</w:t>
      </w:r>
    </w:p>
    <w:p>
      <w:pPr>
        <w:pStyle w:val="ListBullet"/>
        <w:spacing w:after="60"/>
        <w:ind w:left="576"/>
      </w:pPr>
      <w:r>
        <w:rPr>
          <w:rFonts w:ascii="Arial" w:hAnsi="Arial"/>
          <w:sz w:val="21"/>
        </w:rPr>
        <w:t>Clean Air Act Citizen Suit Provision, 42 U.S.C. section 7604</w:t>
      </w:r>
    </w:p>
    <w:p>
      <w:pPr>
        <w:pStyle w:val="ListBullet"/>
        <w:spacing w:after="60"/>
        <w:ind w:left="576"/>
      </w:pPr>
      <w:r>
        <w:rPr>
          <w:rFonts w:ascii="Arial" w:hAnsi="Arial"/>
          <w:sz w:val="21"/>
        </w:rPr>
        <w:t>Clean Water Act Citizen Suit Provision, 33 U.S.C. section 1365</w:t>
      </w:r>
    </w:p>
    <w:p>
      <w:pPr>
        <w:pStyle w:val="ListBullet"/>
        <w:spacing w:after="60"/>
        <w:ind w:left="576"/>
      </w:pPr>
      <w:r>
        <w:rPr>
          <w:rFonts w:ascii="Arial" w:hAnsi="Arial"/>
          <w:sz w:val="21"/>
        </w:rPr>
        <w:t>Native American Graves Protection and Repatriation Act, 25 U.S.C. sections 3001 et seq.</w:t>
      </w:r>
    </w:p>
    <w:p>
      <w:pPr>
        <w:pStyle w:val="ListBullet"/>
        <w:spacing w:after="60"/>
        <w:ind w:left="576"/>
      </w:pPr>
      <w:r>
        <w:rPr>
          <w:rFonts w:ascii="Arial" w:hAnsi="Arial"/>
          <w:sz w:val="21"/>
        </w:rPr>
        <w:t>Copyright Act, 17 U.S.C. section 102</w:t>
      </w:r>
    </w:p>
    <w:p>
      <w:pPr>
        <w:pStyle w:val="ListBullet"/>
        <w:spacing w:after="60"/>
        <w:ind w:left="576"/>
      </w:pPr>
      <w:r>
        <w:rPr>
          <w:rFonts w:ascii="Arial" w:hAnsi="Arial"/>
          <w:sz w:val="21"/>
        </w:rPr>
        <w:t>Uniform Partition of Heirs Property Act (enacted in Georgia)</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O.C.G.A. sections 44-6-180 et seq. (Uniform Partition of Heirs Property Act)</w:t>
      </w:r>
    </w:p>
    <w:p>
      <w:pPr>
        <w:pStyle w:val="ListBullet"/>
        <w:spacing w:after="60"/>
        <w:ind w:left="576"/>
      </w:pPr>
      <w:r>
        <w:rPr>
          <w:rFonts w:ascii="Arial" w:hAnsi="Arial"/>
          <w:sz w:val="21"/>
        </w:rPr>
        <w:t>Georgia Fair Housing Act, O.C.G.A. sections 8-3-200 et seq.</w:t>
      </w:r>
    </w:p>
    <w:p>
      <w:pPr>
        <w:pStyle w:val="ListBullet"/>
        <w:spacing w:after="60"/>
        <w:ind w:left="576"/>
      </w:pPr>
      <w:r>
        <w:rPr>
          <w:rFonts w:ascii="Arial" w:hAnsi="Arial"/>
          <w:sz w:val="21"/>
        </w:rPr>
        <w:t>Georgia Constitution, Art. I, Sec. I, Par. IV (Religious Freedom)</w:t>
      </w:r>
    </w:p>
    <w:p>
      <w:pPr>
        <w:pStyle w:val="ListBullet"/>
        <w:spacing w:after="60"/>
        <w:ind w:left="576"/>
      </w:pPr>
      <w:r>
        <w:rPr>
          <w:rFonts w:ascii="Arial" w:hAnsi="Arial"/>
          <w:sz w:val="21"/>
        </w:rPr>
        <w:t>Georgia Religious Freedom Restoration Act, O.C.G.A. section 50-3-1 et seq.</w:t>
      </w:r>
    </w:p>
    <w:p>
      <w:pPr>
        <w:spacing w:before="200" w:after="60"/>
        <w:jc w:val="left"/>
      </w:pPr>
      <w:r>
        <w:rPr>
          <w:rFonts w:ascii="Arial" w:hAnsi="Arial"/>
          <w:b/>
          <w:i w:val="0"/>
          <w:color w:val="222244"/>
          <w:sz w:val="22"/>
        </w:rPr>
        <w:t>International Instruments</w:t>
      </w:r>
    </w:p>
    <w:p>
      <w:pPr>
        <w:pStyle w:val="ListBullet"/>
        <w:spacing w:after="60"/>
        <w:ind w:left="576"/>
      </w:pPr>
      <w:r>
        <w:rPr>
          <w:rFonts w:ascii="Arial" w:hAnsi="Arial"/>
          <w:sz w:val="21"/>
        </w:rPr>
        <w:t>Universal Declaration of Human Rights (1948)</w:t>
      </w:r>
    </w:p>
    <w:p>
      <w:pPr>
        <w:pStyle w:val="ListBullet"/>
        <w:spacing w:after="60"/>
        <w:ind w:left="576"/>
      </w:pPr>
      <w:r>
        <w:rPr>
          <w:rFonts w:ascii="Arial" w:hAnsi="Arial"/>
          <w:sz w:val="21"/>
        </w:rPr>
        <w:t>International Covenant on Civil and Political Rights, Article 27 (Minority Rights)</w:t>
      </w:r>
    </w:p>
    <w:p>
      <w:pPr>
        <w:pStyle w:val="ListBullet"/>
        <w:spacing w:after="60"/>
        <w:ind w:left="576"/>
      </w:pPr>
      <w:r>
        <w:rPr>
          <w:rFonts w:ascii="Arial" w:hAnsi="Arial"/>
          <w:sz w:val="21"/>
        </w:rPr>
        <w:t>UN Declaration on the Rights of Indigenous Peoples (2007, endorsed by U.S. 2010)</w:t>
      </w:r>
    </w:p>
    <w:p>
      <w:pPr>
        <w:pStyle w:val="ListBullet"/>
        <w:spacing w:after="60"/>
        <w:ind w:left="576"/>
      </w:pPr>
      <w:r>
        <w:rPr>
          <w:rFonts w:ascii="Arial" w:hAnsi="Arial"/>
          <w:sz w:val="21"/>
        </w:rPr>
        <w:t>ILO Convention No. 169 (Indigenous and Tribal Peoples Convention)</w:t>
      </w:r>
    </w:p>
    <w:p>
      <w:pPr>
        <w:pStyle w:val="ListBullet"/>
        <w:spacing w:after="60"/>
        <w:ind w:left="576"/>
      </w:pPr>
      <w:r>
        <w:rPr>
          <w:rFonts w:ascii="Arial" w:hAnsi="Arial"/>
          <w:sz w:val="21"/>
        </w:rPr>
        <w:t>American Declaration of the Rights and Duties of Man (OAS, 1948)</w:t>
      </w:r>
    </w:p>
    <w:p>
      <w:pPr>
        <w:pStyle w:val="ListBullet"/>
        <w:spacing w:after="60"/>
        <w:ind w:left="576"/>
      </w:pPr>
      <w:r>
        <w:rPr>
          <w:rFonts w:ascii="Arial" w:hAnsi="Arial"/>
          <w:sz w:val="21"/>
        </w:rPr>
        <w:t>UNESCO Convention on the Safeguarding of the Intangible Cultural Heritage (2003)</w:t>
      </w:r>
    </w:p>
    <w:p>
      <w:pPr>
        <w:pStyle w:val="ListBullet"/>
        <w:spacing w:after="60"/>
        <w:ind w:left="576"/>
      </w:pPr>
      <w:r>
        <w:rPr>
          <w:rFonts w:ascii="Arial" w:hAnsi="Arial"/>
          <w:sz w:val="21"/>
        </w:rPr>
        <w:t>UN Declaration on the Rights of Persons Belonging to National or Ethnic, Religious and Linguistic Minorities (1992)</w:t>
      </w:r>
    </w:p>
    <w:p>
      <w:pPr>
        <w:pStyle w:val="ListBullet"/>
        <w:spacing w:after="60"/>
        <w:ind w:left="576"/>
      </w:pPr>
      <w:r>
        <w:rPr>
          <w:rFonts w:ascii="Arial" w:hAnsi="Arial"/>
          <w:sz w:val="21"/>
        </w:rPr>
        <w:t>UN Working Group of Experts on People of African Descent Report, A/HRC/33/61 (2016)</w:t>
      </w:r>
    </w:p>
    <w:p>
      <w:pPr>
        <w:pStyle w:val="ListBullet"/>
        <w:spacing w:after="60"/>
        <w:ind w:left="576"/>
      </w:pPr>
      <w:r>
        <w:rPr>
          <w:rFonts w:ascii="Arial" w:hAnsi="Arial"/>
          <w:sz w:val="21"/>
        </w:rPr>
        <w:t>Executive Order 12898 (Environmental Justice)</w:t>
      </w:r>
    </w:p>
    <w:p>
      <w:pPr>
        <w:spacing w:before="200" w:after="60"/>
        <w:jc w:val="left"/>
      </w:pPr>
      <w:r>
        <w:rPr>
          <w:rFonts w:ascii="Arial" w:hAnsi="Arial"/>
          <w:b/>
          <w:i w:val="0"/>
          <w:color w:val="222244"/>
          <w:sz w:val="22"/>
        </w:rPr>
        <w:t>Doctrine Sources</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Unified Bio-Cosmic Generator Model (2026)</w:t>
      </w:r>
    </w:p>
    <w:p>
      <w:pPr>
        <w:pStyle w:val="ListBullet"/>
        <w:spacing w:after="60"/>
        <w:ind w:left="576"/>
      </w:pPr>
      <w:r>
        <w:rPr>
          <w:rFonts w:ascii="Arial" w:hAnsi="Arial"/>
          <w:sz w:val="21"/>
        </w:rPr>
        <w:t>Rickey Allan Howard, The Doctrine of Pre-Political Sovereign Being (2026)</w:t>
      </w:r>
    </w:p>
    <w:p>
      <w:pPr>
        <w:pStyle w:val="ListBullet"/>
        <w:spacing w:after="60"/>
        <w:ind w:left="576"/>
      </w:pPr>
      <w:r>
        <w:rPr>
          <w:rFonts w:ascii="Arial" w:hAnsi="Arial"/>
          <w:sz w:val="21"/>
        </w:rPr>
        <w:t>Rickey Allan Howard, Declaration of Standing (2026)</w:t>
      </w:r>
    </w:p>
    <w:p>
      <w:pPr>
        <w:pStyle w:val="ListBullet"/>
        <w:spacing w:after="60"/>
        <w:ind w:left="576"/>
      </w:pPr>
      <w:r>
        <w:rPr>
          <w:rFonts w:ascii="Arial" w:hAnsi="Arial"/>
          <w:sz w:val="21"/>
        </w:rPr>
        <w:t>Rickey Allan Howard, An Indictment (2025)</w:t>
      </w:r>
    </w:p>
    <w:p>
      <w:pPr>
        <w:pStyle w:val="ListBullet"/>
        <w:spacing w:after="60"/>
        <w:ind w:left="576"/>
      </w:pPr>
      <w:r>
        <w:rPr>
          <w:rFonts w:ascii="Arial" w:hAnsi="Arial"/>
          <w:sz w:val="21"/>
        </w:rPr>
        <w:t>Rickey Allan Howard, Argument Before the Honorable Justices of the Supreme Court (2025)</w:t>
      </w:r>
    </w:p>
    <w:p>
      <w:pPr>
        <w:spacing w:before="120" w:after="120"/>
        <w:jc w:val="center"/>
        <w:pBdr>
          <w:bottom w:val="single" w:sz="4" w:space="1" w:color="1a1a2e"/>
        </w:pBdr>
      </w:pPr>
    </w:p>
    <w:p>
      <w:pPr>
        <w:spacing w:before="160" w:after="80"/>
        <w:jc w:val="center"/>
      </w:pPr>
      <w:r>
        <w:rPr>
          <w:rFonts w:ascii="Arial" w:hAnsi="Arial"/>
          <w:b/>
          <w:i w:val="0"/>
          <w:color w:val="1A1A2E"/>
          <w:sz w:val="22"/>
        </w:rPr>
        <w:t>A CLOSING STATEMENT FROM THE AUTHOR</w:t>
      </w:r>
    </w:p>
    <w:p>
      <w:pPr>
        <w:spacing w:before="40" w:after="120"/>
        <w:jc w:val="center"/>
        <w:pBdr>
          <w:bottom w:val="single" w:sz="3" w:space="1" w:color="444466"/>
        </w:pBdr>
      </w:pPr>
    </w:p>
    <w:p>
      <w:pPr>
        <w:spacing w:before="0" w:after="120"/>
        <w:jc w:val="both"/>
      </w:pPr>
      <w:r>
        <w:rPr>
          <w:rFonts w:ascii="Arial" w:hAnsi="Arial"/>
          <w:b w:val="0"/>
          <w:i w:val="0"/>
          <w:color w:val="000000"/>
          <w:sz w:val="21"/>
        </w:rPr>
        <w:t>This is the seventh and final toolkit of the Sovereign Self Legal Defense Series. Together with the Declaration of Standing and the Formal Legal Doctrine, this series constitutes a complete legal and philosophical framework for the defense of the living being of African and indigenous descent against the overreach of Man-Made Law.</w:t>
      </w:r>
    </w:p>
    <w:p>
      <w:pPr>
        <w:spacing w:before="0" w:after="120"/>
        <w:jc w:val="both"/>
      </w:pPr>
      <w:r>
        <w:rPr>
          <w:rFonts w:ascii="Arial" w:hAnsi="Arial"/>
          <w:b w:val="0"/>
          <w:i w:val="0"/>
          <w:color w:val="000000"/>
          <w:sz w:val="21"/>
        </w:rPr>
        <w:t>This work is offered freely. It belongs to every living being who needs it. It is not finished — it is living, and it will grow as the law develops, as new cases are decided, and as the ongoing work of The Sovereign Self: Reclaiming Divine Intent in Law and Governance continues.</w:t>
      </w:r>
    </w:p>
    <w:p>
      <w:pPr>
        <w:spacing w:before="0" w:after="280"/>
        <w:jc w:val="center"/>
      </w:pPr>
      <w:r>
        <w:rPr>
          <w:rFonts w:ascii="Arial" w:hAnsi="Arial"/>
          <w:b w:val="0"/>
          <w:i/>
          <w:color w:val="222244"/>
          <w:sz w:val="21"/>
        </w:rPr>
        <w:t>The law belongs to the people it was always meant to serve. This series is a step toward reclaiming it.</w:t>
      </w: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Living Being  |  Athens, Georgia  |  March 19, 2026</w:t>
      </w:r>
    </w:p>
    <w:p>
      <w:pPr>
        <w:spacing w:before="0" w:after="40"/>
        <w:jc w:val="center"/>
      </w:pPr>
      <w:r>
        <w:rPr>
          <w:rFonts w:ascii="Arial" w:hAnsi="Arial"/>
          <w:b w:val="0"/>
          <w:i/>
          <w:color w:val="555577"/>
          <w:sz w:val="18"/>
        </w:rPr>
        <w:t>Author: The Sovereign Self: Reclaiming Divine Intent in Law and Governance</w:t>
      </w:r>
    </w:p>
    <w:p>
      <w:pPr>
        <w:spacing w:before="120" w:after="120"/>
        <w:jc w:val="center"/>
        <w:pBdr>
          <w:bottom w:val="single" w:sz="2" w:space="1" w:color="888888"/>
        </w:pBdr>
      </w:pPr>
    </w:p>
    <w:p>
      <w:pPr>
        <w:spacing w:before="80" w:after="0"/>
        <w:jc w:val="center"/>
      </w:pPr>
      <w:r>
        <w:rPr>
          <w:rFonts w:ascii="Arial" w:hAnsi="Arial"/>
          <w:b w:val="0"/>
          <w:i/>
          <w:color w:val="555577"/>
          <w:sz w:val="21"/>
        </w:rPr>
        <w:t>Toolkit Seven of the Sovereign Self Legal Defense Series. Not a substitute for licensed legal counsel. May be reproduced and shared freely for the defense of any living being whose rights are at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