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val="0"/>
          <w:i w:val="0"/>
          <w:color w:val="555577"/>
          <w:sz w:val="22"/>
        </w:rPr>
        <w:t>TOOLKIT SIX</w:t>
      </w:r>
    </w:p>
    <w:p>
      <w:pPr>
        <w:spacing w:before="0" w:after="40"/>
        <w:jc w:val="center"/>
      </w:pPr>
      <w:r>
        <w:rPr>
          <w:rFonts w:ascii="Arial" w:hAnsi="Arial"/>
          <w:b/>
          <w:i w:val="0"/>
          <w:color w:val="1A1A2E"/>
          <w:sz w:val="28"/>
        </w:rPr>
        <w:t>HOUSING DISCRIMINATION AND PROPERTY RIGHTS</w:t>
      </w:r>
    </w:p>
    <w:p>
      <w:pPr>
        <w:spacing w:before="0" w:after="40"/>
        <w:jc w:val="center"/>
      </w:pPr>
      <w:r>
        <w:rPr>
          <w:rFonts w:ascii="Arial" w:hAnsi="Arial"/>
          <w:b w:val="0"/>
          <w:i/>
          <w:color w:val="222244"/>
          <w:sz w:val="22"/>
        </w:rPr>
        <w:t>A Legal Defense Guide for the Living Being</w:t>
      </w:r>
    </w:p>
    <w:p>
      <w:pPr>
        <w:spacing w:before="80" w:after="80"/>
        <w:jc w:val="center"/>
        <w:pBdr>
          <w:bottom w:val="single" w:sz="8" w:space="1" w:color="1a1a2e"/>
        </w:pBdr>
      </w:pPr>
    </w:p>
    <w:p>
      <w:pPr>
        <w:spacing w:before="80" w:after="40"/>
        <w:jc w:val="center"/>
      </w:pPr>
      <w:r>
        <w:rPr>
          <w:rFonts w:ascii="Arial" w:hAnsi="Arial"/>
          <w:b w:val="0"/>
          <w:i w:val="0"/>
          <w:color w:val="555577"/>
          <w:sz w:val="20"/>
        </w:rPr>
        <w:t>Rickey Allan Howard  |  Athens, Georgia  |  March 19, 2026</w:t>
      </w:r>
    </w:p>
    <w:p>
      <w:pPr>
        <w:spacing w:before="0" w:after="160"/>
        <w:jc w:val="center"/>
      </w:pPr>
      <w:r>
        <w:rPr>
          <w:rFonts w:ascii="Arial" w:hAnsi="Arial"/>
          <w:b w:val="0"/>
          <w:i/>
          <w:color w:val="555577"/>
          <w:sz w:val="18"/>
        </w:rPr>
        <w:t>Part of the Sovereign Self Legal Defense Series</w:t>
      </w:r>
    </w:p>
    <w:p>
      <w:pPr>
        <w:spacing w:before="40" w:after="120"/>
        <w:jc w:val="center"/>
        <w:pBdr>
          <w:bottom w:val="single" w:sz="4" w:space="1" w:color="1a1a2e"/>
        </w:pBdr>
      </w:pPr>
    </w:p>
    <w:p>
      <w:pPr>
        <w:spacing w:before="40" w:after="80"/>
        <w:jc w:val="center"/>
      </w:pPr>
      <w:r>
        <w:rPr>
          <w:rFonts w:ascii="Arial" w:hAnsi="Arial"/>
          <w:b/>
          <w:i w:val="0"/>
          <w:color w:val="1A1A2E"/>
          <w:sz w:val="20"/>
        </w:rPr>
        <w:t>HOW TO USE THIS DOCUMENT</w:t>
      </w:r>
    </w:p>
    <w:p>
      <w:pPr>
        <w:spacing w:before="40" w:after="160"/>
        <w:jc w:val="both"/>
      </w:pPr>
      <w:r>
        <w:rPr>
          <w:rFonts w:ascii="Arial" w:hAnsi="Arial"/>
          <w:b w:val="0"/>
          <w:i w:val="0"/>
          <w:color w:val="000000"/>
          <w:sz w:val="21"/>
        </w:rPr>
        <w:t>This toolkit covers housing discrimination in renting and buying, wrongful eviction, property rights, tenant rights in Georgia, discriminatory property valuation, and the ancestral land claim framework. Part One is the legal foundation. Part Two covers specific housing contexts. Part Three covers tenant rights and eviction defense. Part Four provides ready-to-use complaint frameworks. Part Five is the complete table of authorities.</w:t>
      </w:r>
    </w:p>
    <w:p>
      <w:r>
        <w:br w:type="page"/>
      </w:r>
    </w:p>
    <w:p>
      <w:pPr>
        <w:spacing w:before="0" w:after="80"/>
        <w:jc w:val="center"/>
      </w:pPr>
      <w:r>
        <w:rPr>
          <w:rFonts w:ascii="Arial" w:hAnsi="Arial"/>
          <w:b/>
          <w:i w:val="0"/>
          <w:color w:val="1A1A2E"/>
          <w:sz w:val="26"/>
        </w:rPr>
        <w:t>PART ONE</w:t>
      </w:r>
    </w:p>
    <w:p>
      <w:pPr>
        <w:spacing w:before="0" w:after="120"/>
        <w:jc w:val="center"/>
      </w:pPr>
      <w:r>
        <w:rPr>
          <w:rFonts w:ascii="Arial" w:hAnsi="Arial"/>
          <w:b/>
          <w:i w:val="0"/>
          <w:color w:val="222244"/>
          <w:sz w:val="22"/>
        </w:rPr>
        <w:t>THE LEGAL FOUNDATION: HOUSING AS A SACRED RIGHT</w:t>
      </w:r>
    </w:p>
    <w:p>
      <w:pPr>
        <w:spacing w:before="280" w:after="80"/>
        <w:jc w:val="left"/>
        <w:pBdr>
          <w:bottom w:val="single" w:sz="4" w:space="1" w:color="1a1a2e"/>
        </w:pBdr>
      </w:pPr>
      <w:r>
        <w:rPr>
          <w:rFonts w:ascii="Arial" w:hAnsi="Arial"/>
          <w:b/>
          <w:i w:val="0"/>
          <w:color w:val="1A1A2E"/>
          <w:sz w:val="24"/>
        </w:rPr>
        <w:t>SHELTER, LAND, AND THE LIVING BEING</w:t>
      </w:r>
    </w:p>
    <w:p>
      <w:pPr>
        <w:spacing w:before="0" w:after="120"/>
        <w:jc w:val="both"/>
      </w:pPr>
      <w:r>
        <w:rPr>
          <w:rFonts w:ascii="Arial" w:hAnsi="Arial"/>
          <w:b w:val="0"/>
          <w:i w:val="0"/>
          <w:color w:val="000000"/>
          <w:sz w:val="21"/>
        </w:rPr>
        <w:t>The right to shelter and the right to hold property are not merely economic rights. They are fundamental expressions of the living being's sovereign existence on this Earth. A being without shelter is a being whose physical existence is endangered. A people without land is a people whose ancestral connection to the Earth has been severed. The systematic exclusion of Black Americans from homeownership and from stable, dignified housing is the most consequential badge and incident of slavery operating in the modern American economy.</w:t>
      </w:r>
    </w:p>
    <w:p>
      <w:pPr>
        <w:spacing w:before="0" w:after="120"/>
        <w:jc w:val="both"/>
      </w:pPr>
      <w:r>
        <w:rPr>
          <w:rFonts w:ascii="Arial" w:hAnsi="Arial"/>
          <w:b w:val="0"/>
          <w:i w:val="0"/>
          <w:color w:val="000000"/>
          <w:sz w:val="21"/>
        </w:rPr>
        <w:t>The Fair Housing Act of 1968, 42 U.S.C. sections 3601 et seq., was enacted as a direct response to the documented history of housing discrimination rooted in slavery and its aftermath. Jones v. Alfred H. Mayer Co., 392 U.S. 409 (1968), decided the same year, established that 42 U.S.C. section 1982 — rooted in the Thirteenth Amendment — prohibits all racial discrimination in the sale or rental of property, public or private. Together these provide a complete legal framework for asserting housing rights as civil rights.</w:t>
      </w:r>
    </w:p>
    <w:p>
      <w:pPr>
        <w:spacing w:before="280" w:after="80"/>
        <w:jc w:val="left"/>
        <w:pBdr>
          <w:bottom w:val="single" w:sz="4" w:space="1" w:color="1a1a2e"/>
        </w:pBdr>
      </w:pPr>
      <w:r>
        <w:rPr>
          <w:rFonts w:ascii="Arial" w:hAnsi="Arial"/>
          <w:b/>
          <w:i w:val="0"/>
          <w:color w:val="1A1A2E"/>
          <w:sz w:val="24"/>
        </w:rPr>
        <w:t>THE FIVE HOUSING RIGHTS EVERY LIVING BEING MUST KNOW</w:t>
      </w:r>
    </w:p>
    <w:p>
      <w:pPr>
        <w:spacing w:before="120" w:after="60"/>
        <w:jc w:val="both"/>
      </w:pPr>
      <w:r>
        <w:rPr>
          <w:rFonts w:ascii="Arial" w:hAnsi="Arial"/>
          <w:b/>
          <w:i w:val="0"/>
          <w:color w:val="222244"/>
          <w:sz w:val="21"/>
        </w:rPr>
        <w:t xml:space="preserve">1.  The Right to Fair Housing:  </w:t>
      </w:r>
      <w:r>
        <w:rPr>
          <w:rFonts w:ascii="Arial" w:hAnsi="Arial"/>
          <w:b w:val="0"/>
          <w:i w:val="0"/>
          <w:color w:val="000000"/>
          <w:sz w:val="21"/>
        </w:rPr>
        <w:t>No person may discriminate against you in the sale, rental, or financing of housing on the basis of race, color, religion, sex, national origin, familial status, or disability. Fair Housing Act, 42 U.S.C. sections 3601 et seq.</w:t>
      </w:r>
    </w:p>
    <w:p>
      <w:pPr>
        <w:spacing w:before="120" w:after="60"/>
        <w:jc w:val="both"/>
      </w:pPr>
      <w:r>
        <w:rPr>
          <w:rFonts w:ascii="Arial" w:hAnsi="Arial"/>
          <w:b/>
          <w:i w:val="0"/>
          <w:color w:val="222244"/>
          <w:sz w:val="21"/>
        </w:rPr>
        <w:t xml:space="preserve">2.  The Right to Equal Property Rights:  </w:t>
      </w:r>
      <w:r>
        <w:rPr>
          <w:rFonts w:ascii="Arial" w:hAnsi="Arial"/>
          <w:b w:val="0"/>
          <w:i w:val="0"/>
          <w:color w:val="000000"/>
          <w:sz w:val="21"/>
        </w:rPr>
        <w:t>No person or entity may discriminate against you in property transactions on the basis of race. 42 U.S.C. section 1982. This applies to private as well as public actors.</w:t>
      </w:r>
    </w:p>
    <w:p>
      <w:pPr>
        <w:spacing w:before="120" w:after="60"/>
        <w:jc w:val="both"/>
      </w:pPr>
      <w:r>
        <w:rPr>
          <w:rFonts w:ascii="Arial" w:hAnsi="Arial"/>
          <w:b/>
          <w:i w:val="0"/>
          <w:color w:val="222244"/>
          <w:sz w:val="21"/>
        </w:rPr>
        <w:t xml:space="preserve">3.  The Right to Fair Appraisal:  </w:t>
      </w:r>
      <w:r>
        <w:rPr>
          <w:rFonts w:ascii="Arial" w:hAnsi="Arial"/>
          <w:b w:val="0"/>
          <w:i w:val="0"/>
          <w:color w:val="000000"/>
          <w:sz w:val="21"/>
        </w:rPr>
        <w:t>Your property must be appraised without racial bias. Discriminatory appraisal that undervalues property based on the race of the owner or the racial composition of the neighborhood violates the Fair Housing Act and Section 1982.</w:t>
      </w:r>
    </w:p>
    <w:p>
      <w:pPr>
        <w:spacing w:before="120" w:after="60"/>
        <w:jc w:val="both"/>
      </w:pPr>
      <w:r>
        <w:rPr>
          <w:rFonts w:ascii="Arial" w:hAnsi="Arial"/>
          <w:b/>
          <w:i w:val="0"/>
          <w:color w:val="222244"/>
          <w:sz w:val="21"/>
        </w:rPr>
        <w:t xml:space="preserve">4.  The Right to Dignified Tenancy:  </w:t>
      </w:r>
      <w:r>
        <w:rPr>
          <w:rFonts w:ascii="Arial" w:hAnsi="Arial"/>
          <w:b w:val="0"/>
          <w:i w:val="0"/>
          <w:color w:val="000000"/>
          <w:sz w:val="21"/>
        </w:rPr>
        <w:t>As a tenant, you have the right to habitable housing, to be free from discriminatory treatment, to proper notice before eviction, and to due process in eviction proceedings.</w:t>
      </w:r>
    </w:p>
    <w:p>
      <w:pPr>
        <w:spacing w:before="120" w:after="60"/>
        <w:jc w:val="both"/>
      </w:pPr>
      <w:r>
        <w:rPr>
          <w:rFonts w:ascii="Arial" w:hAnsi="Arial"/>
          <w:b/>
          <w:i w:val="0"/>
          <w:color w:val="222244"/>
          <w:sz w:val="21"/>
        </w:rPr>
        <w:t xml:space="preserve">5.  The Right to Be Free from Predatory Housing Practices:  </w:t>
      </w:r>
      <w:r>
        <w:rPr>
          <w:rFonts w:ascii="Arial" w:hAnsi="Arial"/>
          <w:b w:val="0"/>
          <w:i w:val="0"/>
          <w:color w:val="000000"/>
          <w:sz w:val="21"/>
        </w:rPr>
        <w:t>Predatory lending, reverse redlining, deed theft, and land contract schemes that disproportionately strip wealth from Black homeowners and tenants constitute badges and incidents of slavery subject to Thirteenth Amendment protection.</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TWO</w:t>
      </w:r>
    </w:p>
    <w:p>
      <w:pPr>
        <w:spacing w:before="0" w:after="120"/>
        <w:jc w:val="center"/>
      </w:pPr>
      <w:r>
        <w:rPr>
          <w:rFonts w:ascii="Arial" w:hAnsi="Arial"/>
          <w:b/>
          <w:i w:val="0"/>
          <w:color w:val="222244"/>
          <w:sz w:val="22"/>
        </w:rPr>
        <w:t>HOUSING DISCRIMINATION: WHAT IT LOOKS LIKE AND WHAT TO DO</w:t>
      </w:r>
    </w:p>
    <w:p>
      <w:pPr>
        <w:spacing w:before="280" w:after="80"/>
        <w:jc w:val="left"/>
        <w:pBdr>
          <w:bottom w:val="single" w:sz="4" w:space="1" w:color="1a1a2e"/>
        </w:pBdr>
      </w:pPr>
      <w:r>
        <w:rPr>
          <w:rFonts w:ascii="Arial" w:hAnsi="Arial"/>
          <w:b/>
          <w:i w:val="0"/>
          <w:color w:val="1A1A2E"/>
          <w:sz w:val="24"/>
        </w:rPr>
        <w:t>DISCRIMINATION IN RENTING</w:t>
      </w:r>
    </w:p>
    <w:p>
      <w:pPr>
        <w:spacing w:before="200" w:after="60"/>
        <w:jc w:val="left"/>
      </w:pPr>
      <w:r>
        <w:rPr>
          <w:rFonts w:ascii="Arial" w:hAnsi="Arial"/>
          <w:b/>
          <w:i w:val="0"/>
          <w:color w:val="222244"/>
          <w:sz w:val="22"/>
        </w:rPr>
        <w:t>What Discrimination Looks Like</w:t>
      </w:r>
    </w:p>
    <w:p>
      <w:pPr>
        <w:pStyle w:val="ListBullet"/>
        <w:spacing w:after="60"/>
        <w:ind w:left="576"/>
      </w:pPr>
      <w:r>
        <w:rPr>
          <w:rFonts w:ascii="Arial" w:hAnsi="Arial"/>
          <w:sz w:val="21"/>
        </w:rPr>
        <w:t>Being told a unit is unavailable when it is actually available.</w:t>
      </w:r>
    </w:p>
    <w:p>
      <w:pPr>
        <w:pStyle w:val="ListBullet"/>
        <w:spacing w:after="60"/>
        <w:ind w:left="576"/>
      </w:pPr>
      <w:r>
        <w:rPr>
          <w:rFonts w:ascii="Arial" w:hAnsi="Arial"/>
          <w:sz w:val="21"/>
        </w:rPr>
        <w:t>Being quoted higher rent or different terms than offered to other applicants.</w:t>
      </w:r>
    </w:p>
    <w:p>
      <w:pPr>
        <w:pStyle w:val="ListBullet"/>
        <w:spacing w:after="60"/>
        <w:ind w:left="576"/>
      </w:pPr>
      <w:r>
        <w:rPr>
          <w:rFonts w:ascii="Arial" w:hAnsi="Arial"/>
          <w:sz w:val="21"/>
        </w:rPr>
        <w:t>Being steered toward certain neighborhoods or units based on race.</w:t>
      </w:r>
    </w:p>
    <w:p>
      <w:pPr>
        <w:pStyle w:val="ListBullet"/>
        <w:spacing w:after="60"/>
        <w:ind w:left="576"/>
      </w:pPr>
      <w:r>
        <w:rPr>
          <w:rFonts w:ascii="Arial" w:hAnsi="Arial"/>
          <w:sz w:val="21"/>
        </w:rPr>
        <w:t>Refusing to negotiate or respond to your application while responding to others.</w:t>
      </w:r>
    </w:p>
    <w:p>
      <w:pPr>
        <w:pStyle w:val="ListBullet"/>
        <w:spacing w:after="60"/>
        <w:ind w:left="576"/>
      </w:pPr>
      <w:r>
        <w:rPr>
          <w:rFonts w:ascii="Arial" w:hAnsi="Arial"/>
          <w:sz w:val="21"/>
        </w:rPr>
        <w:t>Requiring additional documentation or deposits not required of other applicants.</w:t>
      </w:r>
    </w:p>
    <w:p>
      <w:pPr>
        <w:pStyle w:val="ListBullet"/>
        <w:spacing w:after="60"/>
        <w:ind w:left="576"/>
      </w:pPr>
      <w:r>
        <w:rPr>
          <w:rFonts w:ascii="Arial" w:hAnsi="Arial"/>
          <w:sz w:val="21"/>
        </w:rPr>
        <w:t>Harassment, hostile treatment, or differential maintenance based on race.</w:t>
      </w:r>
    </w:p>
    <w:p>
      <w:pPr>
        <w:pStyle w:val="ListBullet"/>
        <w:spacing w:after="60"/>
        <w:ind w:left="576"/>
      </w:pPr>
      <w:r>
        <w:rPr>
          <w:rFonts w:ascii="Arial" w:hAnsi="Arial"/>
          <w:sz w:val="21"/>
        </w:rPr>
        <w:t>Refusing to make reasonable accommodations for disability.</w:t>
      </w:r>
    </w:p>
    <w:p>
      <w:pPr>
        <w:spacing w:before="200" w:after="60"/>
        <w:jc w:val="left"/>
      </w:pPr>
      <w:r>
        <w:rPr>
          <w:rFonts w:ascii="Arial" w:hAnsi="Arial"/>
          <w:b/>
          <w:i w:val="0"/>
          <w:color w:val="222244"/>
          <w:sz w:val="22"/>
        </w:rPr>
        <w:t>What to Do Immediately</w:t>
      </w:r>
    </w:p>
    <w:p>
      <w:pPr>
        <w:spacing w:before="80" w:after="60"/>
        <w:jc w:val="both"/>
      </w:pPr>
      <w:r>
        <w:rPr>
          <w:rFonts w:ascii="Arial" w:hAnsi="Arial"/>
          <w:b/>
          <w:i w:val="0"/>
          <w:color w:val="222244"/>
          <w:sz w:val="21"/>
        </w:rPr>
        <w:t xml:space="preserve">Step 1:  </w:t>
      </w:r>
      <w:r>
        <w:rPr>
          <w:rFonts w:ascii="Arial" w:hAnsi="Arial"/>
          <w:b w:val="0"/>
          <w:i w:val="0"/>
          <w:color w:val="000000"/>
          <w:sz w:val="21"/>
        </w:rPr>
        <w:t>Document the discrimination. Write down exactly what happened, who said what, and when. Get the name of every person involved.</w:t>
      </w:r>
    </w:p>
    <w:p>
      <w:pPr>
        <w:spacing w:before="80" w:after="60"/>
        <w:jc w:val="both"/>
      </w:pPr>
      <w:r>
        <w:rPr>
          <w:rFonts w:ascii="Arial" w:hAnsi="Arial"/>
          <w:b/>
          <w:i w:val="0"/>
          <w:color w:val="222244"/>
          <w:sz w:val="21"/>
        </w:rPr>
        <w:t xml:space="preserve">Step 2:  </w:t>
      </w:r>
      <w:r>
        <w:rPr>
          <w:rFonts w:ascii="Arial" w:hAnsi="Arial"/>
          <w:b w:val="0"/>
          <w:i w:val="0"/>
          <w:color w:val="000000"/>
          <w:sz w:val="21"/>
        </w:rPr>
        <w:t>Send a test. Have a person of a different race inquire about the same unit. Document any different treatment.</w:t>
      </w:r>
    </w:p>
    <w:p>
      <w:pPr>
        <w:spacing w:before="80" w:after="60"/>
        <w:jc w:val="both"/>
      </w:pPr>
      <w:r>
        <w:rPr>
          <w:rFonts w:ascii="Arial" w:hAnsi="Arial"/>
          <w:b/>
          <w:i w:val="0"/>
          <w:color w:val="222244"/>
          <w:sz w:val="21"/>
        </w:rPr>
        <w:t xml:space="preserve">Step 3:  </w:t>
      </w:r>
      <w:r>
        <w:rPr>
          <w:rFonts w:ascii="Arial" w:hAnsi="Arial"/>
          <w:b w:val="0"/>
          <w:i w:val="0"/>
          <w:color w:val="000000"/>
          <w:sz w:val="21"/>
        </w:rPr>
        <w:t>File a HUD complaint within one year of the discriminatory act at hud.gov/fairhousing or by calling 1-800-669-9777.</w:t>
      </w:r>
    </w:p>
    <w:p>
      <w:pPr>
        <w:spacing w:before="80" w:after="60"/>
        <w:jc w:val="both"/>
      </w:pPr>
      <w:r>
        <w:rPr>
          <w:rFonts w:ascii="Arial" w:hAnsi="Arial"/>
          <w:b/>
          <w:i w:val="0"/>
          <w:color w:val="222244"/>
          <w:sz w:val="21"/>
        </w:rPr>
        <w:t xml:space="preserve">Step 4:  </w:t>
      </w:r>
      <w:r>
        <w:rPr>
          <w:rFonts w:ascii="Arial" w:hAnsi="Arial"/>
          <w:b w:val="0"/>
          <w:i w:val="0"/>
          <w:color w:val="000000"/>
          <w:sz w:val="21"/>
        </w:rPr>
        <w:t>File a complaint with the Georgia Commission on Equal Opportunity within 180 days.</w:t>
      </w:r>
    </w:p>
    <w:p>
      <w:pPr>
        <w:spacing w:before="80" w:after="60"/>
        <w:jc w:val="both"/>
      </w:pPr>
      <w:r>
        <w:rPr>
          <w:rFonts w:ascii="Arial" w:hAnsi="Arial"/>
          <w:b/>
          <w:i w:val="0"/>
          <w:color w:val="222244"/>
          <w:sz w:val="21"/>
        </w:rPr>
        <w:t xml:space="preserve">Step 5:  </w:t>
      </w:r>
      <w:r>
        <w:rPr>
          <w:rFonts w:ascii="Arial" w:hAnsi="Arial"/>
          <w:b w:val="0"/>
          <w:i w:val="0"/>
          <w:color w:val="000000"/>
          <w:sz w:val="21"/>
        </w:rPr>
        <w:t>Consult a fair housing attorney. Many fair housing organizations provide free legal assistance.</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Fair Housing Act, 42 U.S.C. sections 3601 et seq. Remedies include actual damages, punitive damages, injunctive relief, and attorney fees. HUD has authority to investigate complaints and seek civil penalties. Private right of action available within two years of discriminatory act. 42 U.S.C. section 3613.</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DISCRIMINATION IN BUYING AND PROPERTY VALUATION</w:t>
      </w:r>
    </w:p>
    <w:p>
      <w:pPr>
        <w:spacing w:before="0" w:after="120"/>
        <w:jc w:val="both"/>
      </w:pPr>
      <w:r>
        <w:rPr>
          <w:rFonts w:ascii="Arial" w:hAnsi="Arial"/>
          <w:b w:val="0"/>
          <w:i w:val="0"/>
          <w:color w:val="000000"/>
          <w:sz w:val="21"/>
        </w:rPr>
        <w:t>The racial homeownership gap in the United States is a direct and documented consequence of discriminatory policies spanning generations. Redlining denied Black families access to federally backed mortgages. Racially restrictive covenants excluded Black families from entire neighborhoods. Today, discriminatory appraisal continues to undervalue Black-owned homes, stripping billions in wealth from Black families annually.</w:t>
      </w:r>
    </w:p>
    <w:p>
      <w:pPr>
        <w:spacing w:before="200" w:after="60"/>
        <w:jc w:val="left"/>
      </w:pPr>
      <w:r>
        <w:rPr>
          <w:rFonts w:ascii="Arial" w:hAnsi="Arial"/>
          <w:b/>
          <w:i w:val="0"/>
          <w:color w:val="222244"/>
          <w:sz w:val="22"/>
        </w:rPr>
        <w:t>Discriminatory Appraisal: A Documented Crisis</w:t>
      </w:r>
    </w:p>
    <w:p>
      <w:pPr>
        <w:spacing w:before="0" w:after="120"/>
        <w:jc w:val="both"/>
      </w:pPr>
      <w:r>
        <w:rPr>
          <w:rFonts w:ascii="Arial" w:hAnsi="Arial"/>
          <w:b w:val="0"/>
          <w:i w:val="0"/>
          <w:color w:val="000000"/>
          <w:sz w:val="21"/>
        </w:rPr>
        <w:t>Recent studies and federal investigations have documented systematic undervaluation of homes owned by Black Americans compared to identical properties owned by white Americans in the same neighborhoods. The Appraisal Foundation's Uniform Standards of Professional Appraisal Practice prohibit appraisers from considering race. Violation of these standards in connection with a federally related transaction may violate the Fair Housing Act.</w:t>
      </w:r>
    </w:p>
    <w:p>
      <w:pPr>
        <w:spacing w:before="80" w:after="40"/>
        <w:ind w:left="288"/>
        <w:jc w:val="left"/>
      </w:pPr>
      <w:r>
        <w:rPr>
          <w:rFonts w:ascii="Arial" w:hAnsi="Arial"/>
          <w:b/>
          <w:i w:val="0"/>
          <w:color w:val="004D00"/>
          <w:sz w:val="20"/>
        </w:rPr>
        <w:t xml:space="preserve">IF YOU BELIEVE YOUR HOME WAS UNDERVALUED:  </w:t>
      </w:r>
      <w:r>
        <w:rPr>
          <w:rFonts w:ascii="Arial" w:hAnsi="Arial"/>
          <w:b w:val="0"/>
          <w:i/>
          <w:color w:val="222244"/>
          <w:sz w:val="21"/>
        </w:rPr>
        <w:t>Request a copy of the appraisal report. Obtain a second independent appraisal. Document any comparables the appraiser used and compare them to the comparables they did not use. File a complaint with HUD, the Appraisal Subcommittee at asc.gov, and your state appraisal board.</w:t>
      </w:r>
    </w:p>
    <w:p>
      <w:pPr>
        <w:spacing w:before="200" w:after="60"/>
        <w:jc w:val="left"/>
      </w:pPr>
      <w:r>
        <w:rPr>
          <w:rFonts w:ascii="Arial" w:hAnsi="Arial"/>
          <w:b/>
          <w:i w:val="0"/>
          <w:color w:val="222244"/>
          <w:sz w:val="22"/>
        </w:rPr>
        <w:t>Section 1982 Property Rights Claim</w:t>
      </w:r>
    </w:p>
    <w:p>
      <w:pPr>
        <w:spacing w:before="0" w:after="120"/>
        <w:jc w:val="both"/>
      </w:pPr>
      <w:r>
        <w:rPr>
          <w:rFonts w:ascii="Arial" w:hAnsi="Arial"/>
          <w:b w:val="0"/>
          <w:i w:val="0"/>
          <w:color w:val="000000"/>
          <w:sz w:val="21"/>
        </w:rPr>
        <w:t>42 U.S.C. section 1982 provides that all citizens of the United States shall have the same right, in every State and Territory, as is enjoyed by white citizens thereof to inherit, purchase, lease, sell, hold, and convey real and personal property. This statute, rooted in the Thirteenth Amendment, applies to purely private discrimination with no state action required. Jones v. Alfred H. Mayer Co., 392 U.S. 409 (1968). There is no administrative exhaustion requirement and the statute of limitations is four years under 28 U.S.C. section 1658.</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THREE</w:t>
      </w:r>
    </w:p>
    <w:p>
      <w:pPr>
        <w:spacing w:before="0" w:after="120"/>
        <w:jc w:val="center"/>
      </w:pPr>
      <w:r>
        <w:rPr>
          <w:rFonts w:ascii="Arial" w:hAnsi="Arial"/>
          <w:b/>
          <w:i w:val="0"/>
          <w:color w:val="222244"/>
          <w:sz w:val="22"/>
        </w:rPr>
        <w:t>TENANT RIGHTS AND EVICTION DEFENSE IN GEORGIA</w:t>
      </w:r>
    </w:p>
    <w:p>
      <w:pPr>
        <w:spacing w:before="280" w:after="80"/>
        <w:jc w:val="left"/>
        <w:pBdr>
          <w:bottom w:val="single" w:sz="4" w:space="1" w:color="1a1a2e"/>
        </w:pBdr>
      </w:pPr>
      <w:r>
        <w:rPr>
          <w:rFonts w:ascii="Arial" w:hAnsi="Arial"/>
          <w:b/>
          <w:i w:val="0"/>
          <w:color w:val="1A1A2E"/>
          <w:sz w:val="24"/>
        </w:rPr>
        <w:t>YOUR RIGHTS AS A TENANT IN GEORGIA</w:t>
      </w:r>
    </w:p>
    <w:p>
      <w:pPr>
        <w:spacing w:before="0" w:after="120"/>
        <w:jc w:val="both"/>
      </w:pPr>
      <w:r>
        <w:rPr>
          <w:rFonts w:ascii="Arial" w:hAnsi="Arial"/>
          <w:b w:val="0"/>
          <w:i w:val="0"/>
          <w:color w:val="000000"/>
          <w:sz w:val="21"/>
        </w:rPr>
        <w:t>Georgia tenant law is generally landlord-favorable, which makes it essential that you know your rights precisely and assert them at every stage. The following rights are available to every Georgia tenant regardless of the terms of your lease.</w:t>
      </w:r>
    </w:p>
    <w:p>
      <w:pPr>
        <w:spacing w:before="200" w:after="60"/>
        <w:jc w:val="left"/>
      </w:pPr>
      <w:r>
        <w:rPr>
          <w:rFonts w:ascii="Arial" w:hAnsi="Arial"/>
          <w:b/>
          <w:i w:val="0"/>
          <w:color w:val="222244"/>
          <w:sz w:val="22"/>
        </w:rPr>
        <w:t>The Right to Habitable Housing</w:t>
      </w:r>
    </w:p>
    <w:p>
      <w:pPr>
        <w:spacing w:before="0" w:after="80"/>
        <w:jc w:val="both"/>
      </w:pPr>
      <w:r>
        <w:rPr>
          <w:rFonts w:ascii="Arial" w:hAnsi="Arial"/>
          <w:b w:val="0"/>
          <w:i w:val="0"/>
          <w:color w:val="000000"/>
          <w:sz w:val="21"/>
        </w:rPr>
        <w:t>Georgia law implies a warranty of habitability in residential leases. Your landlord must maintain the premises in a condition fit for human habitation, including working plumbing, heat, and structural integrity. O.C.G.A. section 44-7-13. If your landlord fails to maintain habitable conditions, you may:</w:t>
      </w:r>
    </w:p>
    <w:p>
      <w:pPr>
        <w:pStyle w:val="ListBullet"/>
        <w:spacing w:after="60"/>
        <w:ind w:left="576"/>
      </w:pPr>
      <w:r>
        <w:rPr>
          <w:rFonts w:ascii="Arial" w:hAnsi="Arial"/>
          <w:sz w:val="21"/>
        </w:rPr>
        <w:t>Notify the landlord in writing of the specific deficiency and demand repair within a reasonable time.</w:t>
      </w:r>
    </w:p>
    <w:p>
      <w:pPr>
        <w:pStyle w:val="ListBullet"/>
        <w:spacing w:after="60"/>
        <w:ind w:left="576"/>
      </w:pPr>
      <w:r>
        <w:rPr>
          <w:rFonts w:ascii="Arial" w:hAnsi="Arial"/>
          <w:sz w:val="21"/>
        </w:rPr>
        <w:t>Contact code enforcement and building inspection authorities to document the deficiency.</w:t>
      </w:r>
    </w:p>
    <w:p>
      <w:pPr>
        <w:pStyle w:val="ListBullet"/>
        <w:spacing w:after="60"/>
        <w:ind w:left="576"/>
      </w:pPr>
      <w:r>
        <w:rPr>
          <w:rFonts w:ascii="Arial" w:hAnsi="Arial"/>
          <w:sz w:val="21"/>
        </w:rPr>
        <w:t>In severe cases, pursue repair-and-deduct remedies or rent withholding in escrow pending judicial determination — but consult an attorney before doing this as Georgia law on this is limited.</w:t>
      </w:r>
    </w:p>
    <w:p>
      <w:pPr>
        <w:pStyle w:val="ListBullet"/>
        <w:spacing w:after="60"/>
        <w:ind w:left="576"/>
      </w:pPr>
      <w:r>
        <w:rPr>
          <w:rFonts w:ascii="Arial" w:hAnsi="Arial"/>
          <w:sz w:val="21"/>
        </w:rPr>
        <w:t>File a complaint with HUD if the habitability failure constitutes discriminatory housing conditions.</w:t>
      </w:r>
    </w:p>
    <w:p>
      <w:pPr>
        <w:spacing w:before="200" w:after="60"/>
        <w:jc w:val="left"/>
      </w:pPr>
      <w:r>
        <w:rPr>
          <w:rFonts w:ascii="Arial" w:hAnsi="Arial"/>
          <w:b/>
          <w:i w:val="0"/>
          <w:color w:val="222244"/>
          <w:sz w:val="22"/>
        </w:rPr>
        <w:t>Eviction Defense: Your Rights Before and During Eviction</w:t>
      </w:r>
    </w:p>
    <w:p>
      <w:pPr>
        <w:spacing w:before="0" w:after="120"/>
        <w:jc w:val="both"/>
      </w:pPr>
      <w:r>
        <w:rPr>
          <w:rFonts w:ascii="Arial" w:hAnsi="Arial"/>
          <w:b w:val="0"/>
          <w:i w:val="0"/>
          <w:color w:val="000000"/>
          <w:sz w:val="21"/>
        </w:rPr>
        <w:t>Georgia's eviction process, called a dispossessory proceeding, requires the landlord to follow specific legal steps. Each step creates an opportunity for you to assert your rights.</w:t>
      </w:r>
    </w:p>
    <w:p>
      <w:pPr>
        <w:spacing w:before="100" w:after="60"/>
        <w:jc w:val="both"/>
      </w:pPr>
      <w:r>
        <w:rPr>
          <w:rFonts w:ascii="Arial" w:hAnsi="Arial"/>
          <w:b/>
          <w:i w:val="0"/>
          <w:color w:val="222244"/>
          <w:sz w:val="21"/>
        </w:rPr>
        <w:t xml:space="preserve">Step 1: Notice.  </w:t>
      </w:r>
      <w:r>
        <w:rPr>
          <w:rFonts w:ascii="Arial" w:hAnsi="Arial"/>
          <w:b w:val="0"/>
          <w:i w:val="0"/>
          <w:color w:val="000000"/>
          <w:sz w:val="21"/>
        </w:rPr>
        <w:t>Before filing an eviction, a landlord must give written notice to vacate. For nonpayment of rent, Georgia law does not require a statutory notice period before filing, but many leases require written notice. Read your lease carefully.</w:t>
      </w:r>
    </w:p>
    <w:p>
      <w:pPr>
        <w:spacing w:before="100" w:after="60"/>
        <w:jc w:val="both"/>
      </w:pPr>
      <w:r>
        <w:rPr>
          <w:rFonts w:ascii="Arial" w:hAnsi="Arial"/>
          <w:b/>
          <w:i w:val="0"/>
          <w:color w:val="222244"/>
          <w:sz w:val="21"/>
        </w:rPr>
        <w:t xml:space="preserve">Step 2: Filing.  </w:t>
      </w:r>
      <w:r>
        <w:rPr>
          <w:rFonts w:ascii="Arial" w:hAnsi="Arial"/>
          <w:b w:val="0"/>
          <w:i w:val="0"/>
          <w:color w:val="000000"/>
          <w:sz w:val="21"/>
        </w:rPr>
        <w:t>The landlord must file a dispossessory affidavit with the Magistrate Court of the county where the property is located. You will receive a summons giving you seven days to answer.</w:t>
      </w:r>
    </w:p>
    <w:p>
      <w:pPr>
        <w:spacing w:before="100" w:after="60"/>
        <w:jc w:val="both"/>
      </w:pPr>
      <w:r>
        <w:rPr>
          <w:rFonts w:ascii="Arial" w:hAnsi="Arial"/>
          <w:b/>
          <w:i w:val="0"/>
          <w:color w:val="222244"/>
          <w:sz w:val="21"/>
        </w:rPr>
        <w:t xml:space="preserve">Step 3: Your Answer.  </w:t>
      </w:r>
      <w:r>
        <w:rPr>
          <w:rFonts w:ascii="Arial" w:hAnsi="Arial"/>
          <w:b w:val="0"/>
          <w:i w:val="0"/>
          <w:color w:val="000000"/>
          <w:sz w:val="21"/>
        </w:rPr>
        <w:t>You MUST file a written answer within seven days or you will be in default and the landlord wins automatically. This is the most critical deadline in Georgia eviction law.</w:t>
      </w:r>
    </w:p>
    <w:p>
      <w:pPr>
        <w:spacing w:before="100" w:after="60"/>
        <w:jc w:val="both"/>
      </w:pPr>
      <w:r>
        <w:rPr>
          <w:rFonts w:ascii="Arial" w:hAnsi="Arial"/>
          <w:b/>
          <w:i w:val="0"/>
          <w:color w:val="222244"/>
          <w:sz w:val="21"/>
        </w:rPr>
        <w:t xml:space="preserve">Step 4: The Hearing.  </w:t>
      </w:r>
      <w:r>
        <w:rPr>
          <w:rFonts w:ascii="Arial" w:hAnsi="Arial"/>
          <w:b w:val="0"/>
          <w:i w:val="0"/>
          <w:color w:val="000000"/>
          <w:sz w:val="21"/>
        </w:rPr>
        <w:t>If you file an answer, you have the right to a hearing before a judge. This is where you present your defenses.</w:t>
      </w:r>
    </w:p>
    <w:p>
      <w:pPr>
        <w:spacing w:before="100" w:after="60"/>
        <w:jc w:val="both"/>
      </w:pPr>
      <w:r>
        <w:rPr>
          <w:rFonts w:ascii="Arial" w:hAnsi="Arial"/>
          <w:b/>
          <w:i w:val="0"/>
          <w:color w:val="222244"/>
          <w:sz w:val="21"/>
        </w:rPr>
        <w:t xml:space="preserve">Step 5: Appeal.  </w:t>
      </w:r>
      <w:r>
        <w:rPr>
          <w:rFonts w:ascii="Arial" w:hAnsi="Arial"/>
          <w:b w:val="0"/>
          <w:i w:val="0"/>
          <w:color w:val="000000"/>
          <w:sz w:val="21"/>
        </w:rPr>
        <w:t>If you lose at the Magistrate Court level, you have seven days to appeal to the State Court. You must pay all rent owed into the court registry to stay the eviction during appeal.</w:t>
      </w:r>
    </w:p>
    <w:p>
      <w:pPr>
        <w:spacing w:before="80" w:after="80"/>
        <w:ind w:left="288"/>
        <w:jc w:val="both"/>
      </w:pPr>
      <w:r>
        <w:rPr>
          <w:rFonts w:ascii="Arial" w:hAnsi="Arial"/>
          <w:b/>
          <w:i w:val="0"/>
          <w:color w:val="8B0000"/>
          <w:sz w:val="21"/>
        </w:rPr>
        <w:t xml:space="preserve">IMPORTANT: </w:t>
      </w:r>
      <w:r>
        <w:rPr>
          <w:rFonts w:ascii="Arial" w:hAnsi="Arial"/>
          <w:b w:val="0"/>
          <w:i w:val="0"/>
          <w:color w:val="000000"/>
          <w:sz w:val="21"/>
        </w:rPr>
        <w:t>The seven-day answer deadline in Georgia eviction proceedings is absolute. If you do not file a written answer within seven days of receiving the summons, the landlord automatically wins. File your answer immediately.</w:t>
      </w:r>
    </w:p>
    <w:p>
      <w:pPr>
        <w:spacing w:before="200" w:after="60"/>
        <w:jc w:val="left"/>
      </w:pPr>
      <w:r>
        <w:rPr>
          <w:rFonts w:ascii="Arial" w:hAnsi="Arial"/>
          <w:b/>
          <w:i w:val="0"/>
          <w:color w:val="222244"/>
          <w:sz w:val="22"/>
        </w:rPr>
        <w:t>Defenses Available in Eviction Proceedings</w:t>
      </w:r>
    </w:p>
    <w:p>
      <w:pPr>
        <w:pStyle w:val="ListBullet"/>
        <w:spacing w:after="60"/>
        <w:ind w:left="576"/>
      </w:pPr>
      <w:r>
        <w:rPr>
          <w:rFonts w:ascii="Arial" w:hAnsi="Arial"/>
          <w:sz w:val="21"/>
        </w:rPr>
        <w:t>Payment: You paid the rent and can prove it.</w:t>
      </w:r>
    </w:p>
    <w:p>
      <w:pPr>
        <w:pStyle w:val="ListBullet"/>
        <w:spacing w:after="60"/>
        <w:ind w:left="576"/>
      </w:pPr>
      <w:r>
        <w:rPr>
          <w:rFonts w:ascii="Arial" w:hAnsi="Arial"/>
          <w:sz w:val="21"/>
        </w:rPr>
        <w:t>Acceptance of rent after default: The landlord accepted rent after the claimed default, which may constitute waiver of the eviction ground.</w:t>
      </w:r>
    </w:p>
    <w:p>
      <w:pPr>
        <w:pStyle w:val="ListBullet"/>
        <w:spacing w:after="60"/>
        <w:ind w:left="576"/>
      </w:pPr>
      <w:r>
        <w:rPr>
          <w:rFonts w:ascii="Arial" w:hAnsi="Arial"/>
          <w:sz w:val="21"/>
        </w:rPr>
        <w:t>Retaliation: The landlord filed the eviction because you exercised a legal right, such as complaining to code enforcement. Retaliatory eviction is prohibited under Georgia law. O.C.G.A. section 44-7-24.</w:t>
      </w:r>
    </w:p>
    <w:p>
      <w:pPr>
        <w:pStyle w:val="ListBullet"/>
        <w:spacing w:after="60"/>
        <w:ind w:left="576"/>
      </w:pPr>
      <w:r>
        <w:rPr>
          <w:rFonts w:ascii="Arial" w:hAnsi="Arial"/>
          <w:sz w:val="21"/>
        </w:rPr>
        <w:t>Discrimination: The eviction is motivated by race, religion, or other protected characteristic in violation of the Fair Housing Act.</w:t>
      </w:r>
    </w:p>
    <w:p>
      <w:pPr>
        <w:pStyle w:val="ListBullet"/>
        <w:spacing w:after="60"/>
        <w:ind w:left="576"/>
      </w:pPr>
      <w:r>
        <w:rPr>
          <w:rFonts w:ascii="Arial" w:hAnsi="Arial"/>
          <w:sz w:val="21"/>
        </w:rPr>
        <w:t>Failure to maintain habitable conditions: The landlord's breach of the implied warranty of habitability.</w:t>
      </w:r>
    </w:p>
    <w:p>
      <w:pPr>
        <w:pStyle w:val="ListBullet"/>
        <w:spacing w:after="60"/>
        <w:ind w:left="576"/>
      </w:pPr>
      <w:r>
        <w:rPr>
          <w:rFonts w:ascii="Arial" w:hAnsi="Arial"/>
          <w:sz w:val="21"/>
        </w:rPr>
        <w:t>Procedural defects: The landlord failed to follow the required procedures for notice or filing.</w:t>
      </w:r>
    </w:p>
    <w:p>
      <w:pPr>
        <w:pStyle w:val="ListBullet"/>
        <w:spacing w:after="60"/>
        <w:ind w:left="576"/>
      </w:pPr>
      <w:r>
        <w:rPr>
          <w:rFonts w:ascii="Arial" w:hAnsi="Arial"/>
          <w:sz w:val="21"/>
        </w:rPr>
        <w:t>Lease violations by landlord: The landlord's own breach of the lease terms.</w:t>
      </w:r>
    </w:p>
    <w:p>
      <w:pPr>
        <w:spacing w:before="80" w:after="40"/>
        <w:ind w:left="288"/>
        <w:jc w:val="left"/>
      </w:pPr>
      <w:r>
        <w:rPr>
          <w:rFonts w:ascii="Arial" w:hAnsi="Arial"/>
          <w:b/>
          <w:i w:val="0"/>
          <w:color w:val="004D00"/>
          <w:sz w:val="20"/>
        </w:rPr>
        <w:t xml:space="preserve">FILE THIS IMMEDIATELY:  </w:t>
      </w:r>
      <w:r>
        <w:rPr>
          <w:rFonts w:ascii="Arial" w:hAnsi="Arial"/>
          <w:b w:val="0"/>
          <w:i/>
          <w:color w:val="222244"/>
          <w:sz w:val="21"/>
        </w:rPr>
        <w:t>A written Answer to Dispossessory in the Magistrate Court where the case was filed, within seven days of receiving the summons. Your answer must state your defenses. If you cannot afford an attorney, contact Georgia Legal Aid at 1-844-LEGALAID or lawhelp.org/ga.</w:t>
      </w:r>
    </w:p>
    <w:p>
      <w:pPr>
        <w:spacing w:before="40" w:after="80"/>
        <w:ind w:left="432" w:right="432"/>
        <w:jc w:val="both"/>
      </w:pPr>
      <w:r>
        <w:rPr>
          <w:rFonts w:ascii="Arial" w:hAnsi="Arial"/>
          <w:b/>
          <w:i w:val="0"/>
          <w:color w:val="555577"/>
          <w:sz w:val="19"/>
        </w:rPr>
        <w:t xml:space="preserve">Legal Basis: </w:t>
      </w:r>
      <w:r>
        <w:rPr>
          <w:rFonts w:ascii="Arial" w:hAnsi="Arial"/>
          <w:b w:val="0"/>
          <w:i/>
          <w:color w:val="555577"/>
          <w:sz w:val="19"/>
        </w:rPr>
        <w:t>O.C.G.A. sections 44-7-50 et seq. (Georgia Dispossessory Proceedings). O.C.G.A. section 44-7-24 (Retaliatory Eviction). Fair Housing Act, 42 U.S.C. sections 3601 et seq. (Discriminatory Eviction).</w:t>
      </w:r>
    </w:p>
    <w:p>
      <w:pPr>
        <w:spacing w:before="120" w:after="120"/>
        <w:jc w:val="center"/>
        <w:pBdr>
          <w:bottom w:val="single" w:sz="4" w:space="1" w:color="1a1a2e"/>
        </w:pBdr>
      </w:pPr>
    </w:p>
    <w:p>
      <w:pPr>
        <w:spacing w:before="280" w:after="80"/>
        <w:jc w:val="left"/>
        <w:pBdr>
          <w:bottom w:val="single" w:sz="4" w:space="1" w:color="1a1a2e"/>
        </w:pBdr>
      </w:pPr>
      <w:r>
        <w:rPr>
          <w:rFonts w:ascii="Arial" w:hAnsi="Arial"/>
          <w:b/>
          <w:i w:val="0"/>
          <w:color w:val="1A1A2E"/>
          <w:sz w:val="24"/>
        </w:rPr>
        <w:t>WRONGFUL EVICTION AND SELF-HELP EVICTION</w:t>
      </w:r>
    </w:p>
    <w:p>
      <w:pPr>
        <w:spacing w:before="0" w:after="80"/>
        <w:jc w:val="both"/>
      </w:pPr>
      <w:r>
        <w:rPr>
          <w:rFonts w:ascii="Arial" w:hAnsi="Arial"/>
          <w:b w:val="0"/>
          <w:i w:val="0"/>
          <w:color w:val="000000"/>
          <w:sz w:val="21"/>
        </w:rPr>
        <w:t>A landlord may not remove you from your home without going through the court dispossessory process. The following actions by a landlord outside of court are illegal and give rise to damages claims:</w:t>
      </w:r>
    </w:p>
    <w:p>
      <w:pPr>
        <w:pStyle w:val="ListBullet"/>
        <w:spacing w:after="60"/>
        <w:ind w:left="576"/>
      </w:pPr>
      <w:r>
        <w:rPr>
          <w:rFonts w:ascii="Arial" w:hAnsi="Arial"/>
          <w:sz w:val="21"/>
        </w:rPr>
        <w:t>Changing your locks without a court order.</w:t>
      </w:r>
    </w:p>
    <w:p>
      <w:pPr>
        <w:pStyle w:val="ListBullet"/>
        <w:spacing w:after="60"/>
        <w:ind w:left="576"/>
      </w:pPr>
      <w:r>
        <w:rPr>
          <w:rFonts w:ascii="Arial" w:hAnsi="Arial"/>
          <w:sz w:val="21"/>
        </w:rPr>
        <w:t>Removing your belongings without a court order.</w:t>
      </w:r>
    </w:p>
    <w:p>
      <w:pPr>
        <w:pStyle w:val="ListBullet"/>
        <w:spacing w:after="60"/>
        <w:ind w:left="576"/>
      </w:pPr>
      <w:r>
        <w:rPr>
          <w:rFonts w:ascii="Arial" w:hAnsi="Arial"/>
          <w:sz w:val="21"/>
        </w:rPr>
        <w:t>Shutting off utilities to force you to leave.</w:t>
      </w:r>
    </w:p>
    <w:p>
      <w:pPr>
        <w:pStyle w:val="ListBullet"/>
        <w:spacing w:after="60"/>
        <w:ind w:left="576"/>
      </w:pPr>
      <w:r>
        <w:rPr>
          <w:rFonts w:ascii="Arial" w:hAnsi="Arial"/>
          <w:sz w:val="21"/>
        </w:rPr>
        <w:t>Physically removing or threatening to remove you without a court order.</w:t>
      </w:r>
    </w:p>
    <w:p>
      <w:pPr>
        <w:pStyle w:val="ListBullet"/>
        <w:spacing w:after="60"/>
        <w:ind w:left="576"/>
      </w:pPr>
      <w:r>
        <w:rPr>
          <w:rFonts w:ascii="Arial" w:hAnsi="Arial"/>
          <w:sz w:val="21"/>
        </w:rPr>
        <w:t>Any other self-help action to force vacating outside the legal process.</w:t>
      </w:r>
    </w:p>
    <w:p>
      <w:pPr>
        <w:spacing w:before="80" w:after="40"/>
        <w:ind w:left="288"/>
        <w:jc w:val="left"/>
      </w:pPr>
      <w:r>
        <w:rPr>
          <w:rFonts w:ascii="Arial" w:hAnsi="Arial"/>
          <w:b/>
          <w:i w:val="0"/>
          <w:color w:val="004D00"/>
          <w:sz w:val="20"/>
        </w:rPr>
        <w:t xml:space="preserve">IF THIS HAPPENS:  </w:t>
      </w:r>
      <w:r>
        <w:rPr>
          <w:rFonts w:ascii="Arial" w:hAnsi="Arial"/>
          <w:b w:val="0"/>
          <w:i/>
          <w:color w:val="222244"/>
          <w:sz w:val="21"/>
        </w:rPr>
        <w:t>Call the Athens-Clarke County Police and report an illegal lockout. Document everything with photographs and video. File an emergency motion in Magistrate Court for immediate relief. You may be entitled to actual damages, punitive damages, and attorney fees for illegal self-help eviction. O.C.G.A. section 44-7-14.1.</w:t>
      </w:r>
    </w:p>
    <w:p>
      <w:pPr>
        <w:spacing w:before="120" w:after="120"/>
        <w:jc w:val="center"/>
        <w:pBdr>
          <w:bottom w:val="single" w:sz="4" w:space="1" w:color="1a1a2e"/>
        </w:pBdr>
      </w:pPr>
    </w:p>
    <w:p>
      <w:r>
        <w:br w:type="page"/>
      </w:r>
    </w:p>
    <w:p>
      <w:pPr>
        <w:spacing w:before="0" w:after="80"/>
        <w:jc w:val="center"/>
      </w:pPr>
      <w:r>
        <w:rPr>
          <w:rFonts w:ascii="Arial" w:hAnsi="Arial"/>
          <w:b/>
          <w:i w:val="0"/>
          <w:color w:val="1A1A2E"/>
          <w:sz w:val="26"/>
        </w:rPr>
        <w:t>PART FOUR</w:t>
      </w:r>
    </w:p>
    <w:p>
      <w:pPr>
        <w:spacing w:before="0" w:after="120"/>
        <w:jc w:val="center"/>
      </w:pPr>
      <w:r>
        <w:rPr>
          <w:rFonts w:ascii="Arial" w:hAnsi="Arial"/>
          <w:b/>
          <w:i w:val="0"/>
          <w:color w:val="222244"/>
          <w:sz w:val="22"/>
        </w:rPr>
        <w:t>READY-TO-USE FRAMEWORKS</w:t>
      </w:r>
    </w:p>
    <w:p>
      <w:pPr>
        <w:spacing w:before="160" w:after="80"/>
        <w:jc w:val="center"/>
      </w:pPr>
      <w:r>
        <w:rPr>
          <w:rFonts w:ascii="Arial" w:hAnsi="Arial"/>
          <w:b/>
          <w:i w:val="0"/>
          <w:color w:val="1A1A2E"/>
          <w:sz w:val="22"/>
        </w:rPr>
        <w:t>FRAMEWORK ONE: HUD HOUSING DISCRIMINATION COMPLAINT LETTER</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[DATE]</w:t>
      </w:r>
    </w:p>
    <w:p>
      <w:pPr>
        <w:spacing w:before="0" w:after="100"/>
        <w:ind w:left="432" w:right="432"/>
        <w:jc w:val="both"/>
      </w:pPr>
      <w:r>
        <w:rPr>
          <w:rFonts w:ascii="Arial" w:hAnsi="Arial"/>
          <w:b w:val="0"/>
          <w:i/>
          <w:color w:val="222244"/>
          <w:sz w:val="21"/>
        </w:rPr>
        <w:t>U.S. Department of Housing and Urban Development</w:t>
      </w:r>
    </w:p>
    <w:p>
      <w:pPr>
        <w:spacing w:before="0" w:after="100"/>
        <w:ind w:left="432" w:right="432"/>
        <w:jc w:val="both"/>
      </w:pPr>
      <w:r>
        <w:rPr>
          <w:rFonts w:ascii="Arial" w:hAnsi="Arial"/>
          <w:b w:val="0"/>
          <w:i/>
          <w:color w:val="222244"/>
          <w:sz w:val="21"/>
        </w:rPr>
        <w:t>Office of Fair Housing and Equal Opportunity</w:t>
      </w:r>
    </w:p>
    <w:p>
      <w:pPr>
        <w:spacing w:before="0" w:after="100"/>
        <w:ind w:left="432" w:right="432"/>
        <w:jc w:val="both"/>
      </w:pPr>
      <w:r>
        <w:rPr>
          <w:rFonts w:ascii="Arial" w:hAnsi="Arial"/>
          <w:b w:val="0"/>
          <w:i/>
          <w:color w:val="222244"/>
          <w:sz w:val="21"/>
        </w:rPr>
        <w:t>Re: Formal Complaint of Housing Discrimination in Violation of the Fair Housing Act, 42 U.S.C. sections 3601 et seq., and 42 U.S.C. section 1982</w:t>
      </w:r>
    </w:p>
    <w:p>
      <w:pPr>
        <w:spacing w:before="0" w:after="100"/>
        <w:ind w:left="432" w:right="432"/>
        <w:jc w:val="both"/>
      </w:pPr>
      <w:r>
        <w:rPr>
          <w:rFonts w:ascii="Arial" w:hAnsi="Arial"/>
          <w:b w:val="0"/>
          <w:i/>
          <w:color w:val="222244"/>
          <w:sz w:val="21"/>
        </w:rPr>
        <w:t>To Whom It May Concern:</w:t>
      </w:r>
    </w:p>
    <w:p>
      <w:pPr>
        <w:spacing w:before="0" w:after="100"/>
        <w:ind w:left="432" w:right="432"/>
        <w:jc w:val="both"/>
      </w:pPr>
      <w:r>
        <w:rPr>
          <w:rFonts w:ascii="Arial" w:hAnsi="Arial"/>
          <w:b w:val="0"/>
          <w:i/>
          <w:color w:val="222244"/>
          <w:sz w:val="21"/>
        </w:rPr>
        <w:t>I hereby submit this formal complaint of housing discrimination against [Respondent Name and Address]. The following discriminatory conduct occurred:</w:t>
      </w:r>
    </w:p>
    <w:p>
      <w:pPr>
        <w:spacing w:before="0" w:after="100"/>
        <w:ind w:left="432" w:right="432"/>
        <w:jc w:val="both"/>
      </w:pPr>
      <w:r>
        <w:rPr>
          <w:rFonts w:ascii="Arial" w:hAnsi="Arial"/>
          <w:b w:val="0"/>
          <w:i/>
          <w:color w:val="222244"/>
          <w:sz w:val="21"/>
        </w:rPr>
        <w:t>Description of discriminatory conduct: [Describe what happened, when, who was involved, and all facts supporting that race was a motivating factor in the treatment you received. Be specific about dates, names, and what was said or done.]</w:t>
      </w:r>
    </w:p>
    <w:p>
      <w:pPr>
        <w:spacing w:before="0" w:after="100"/>
        <w:ind w:left="432" w:right="432"/>
        <w:jc w:val="both"/>
      </w:pPr>
      <w:r>
        <w:rPr>
          <w:rFonts w:ascii="Arial" w:hAnsi="Arial"/>
          <w:b w:val="0"/>
          <w:i/>
          <w:color w:val="222244"/>
          <w:sz w:val="21"/>
        </w:rPr>
        <w:t>Basis of discrimination: Race and/or color, in violation of the Fair Housing Act, 42 U.S.C. section 3604, and 42 U.S.C. section 1982.</w:t>
      </w:r>
    </w:p>
    <w:p>
      <w:pPr>
        <w:spacing w:before="0" w:after="100"/>
        <w:ind w:left="432" w:right="432"/>
        <w:jc w:val="both"/>
      </w:pPr>
      <w:r>
        <w:rPr>
          <w:rFonts w:ascii="Arial" w:hAnsi="Arial"/>
          <w:b w:val="0"/>
          <w:i/>
          <w:color w:val="222244"/>
          <w:sz w:val="21"/>
        </w:rPr>
        <w:t>Harm suffered: [Describe the specific harm: loss of housing opportunity, financial loss, emotional distress, displacement, etc.]</w:t>
      </w:r>
    </w:p>
    <w:p>
      <w:pPr>
        <w:spacing w:before="0" w:after="100"/>
        <w:ind w:left="432" w:right="432"/>
        <w:jc w:val="both"/>
      </w:pPr>
      <w:r>
        <w:rPr>
          <w:rFonts w:ascii="Arial" w:hAnsi="Arial"/>
          <w:b w:val="0"/>
          <w:i/>
          <w:color w:val="222244"/>
          <w:sz w:val="21"/>
        </w:rPr>
        <w:t>I request that HUD investigate this complaint, take appropriate enforcement action, and make me whole for the harm I have suffered. I am available to provide additional information as needed.</w:t>
      </w:r>
    </w:p>
    <w:p>
      <w:pPr>
        <w:spacing w:before="0" w:after="100"/>
        <w:ind w:left="432" w:right="432"/>
        <w:jc w:val="both"/>
      </w:pPr>
      <w:r>
        <w:rPr>
          <w:rFonts w:ascii="Arial" w:hAnsi="Arial"/>
          <w:b w:val="0"/>
          <w:i/>
          <w:color w:val="222244"/>
          <w:sz w:val="21"/>
        </w:rPr>
        <w:t>[YOUR NAME] | [DATE] | [ADDRESS] | [PHONE] | [EMAIL]</w:t>
      </w:r>
    </w:p>
    <w:p>
      <w:pPr>
        <w:spacing w:before="120" w:after="120"/>
        <w:jc w:val="center"/>
        <w:pBdr>
          <w:bottom w:val="single" w:sz="2" w:space="1" w:color="888888"/>
        </w:pBdr>
      </w:pPr>
    </w:p>
    <w:p>
      <w:pPr>
        <w:spacing w:before="160" w:after="80"/>
        <w:jc w:val="center"/>
      </w:pPr>
      <w:r>
        <w:rPr>
          <w:rFonts w:ascii="Arial" w:hAnsi="Arial"/>
          <w:b/>
          <w:i w:val="0"/>
          <w:color w:val="1A1A2E"/>
          <w:sz w:val="22"/>
        </w:rPr>
        <w:t>FRAMEWORK TWO: EVICTION ANSWER (GEORGIA MAGISTRATE COURT)</w:t>
      </w:r>
    </w:p>
    <w:p>
      <w:pPr>
        <w:spacing w:before="40" w:after="80"/>
        <w:jc w:val="center"/>
        <w:pBdr>
          <w:bottom w:val="single" w:sz="3" w:space="1" w:color="444466"/>
        </w:pBdr>
      </w:pPr>
    </w:p>
    <w:p>
      <w:pPr>
        <w:spacing w:before="0" w:after="100"/>
        <w:ind w:left="432" w:right="432"/>
        <w:jc w:val="both"/>
      </w:pPr>
      <w:r>
        <w:rPr>
          <w:rFonts w:ascii="Arial" w:hAnsi="Arial"/>
          <w:b w:val="0"/>
          <w:i/>
          <w:color w:val="222244"/>
          <w:sz w:val="21"/>
        </w:rPr>
        <w:t>IN THE MAGISTRATE COURT OF [COUNTY] COUNTY, STATE OF GEORGIA</w:t>
      </w:r>
    </w:p>
    <w:p>
      <w:pPr>
        <w:spacing w:before="0" w:after="100"/>
        <w:ind w:left="432" w:right="432"/>
        <w:jc w:val="both"/>
      </w:pPr>
      <w:r>
        <w:rPr>
          <w:rFonts w:ascii="Arial" w:hAnsi="Arial"/>
          <w:b w:val="0"/>
          <w:i/>
          <w:color w:val="222244"/>
          <w:sz w:val="21"/>
        </w:rPr>
        <w:t>[LANDLORD NAME], Plaintiff,</w:t>
      </w:r>
    </w:p>
    <w:p>
      <w:pPr>
        <w:spacing w:before="0" w:after="100"/>
        <w:ind w:left="432" w:right="432"/>
        <w:jc w:val="both"/>
      </w:pPr>
      <w:r>
        <w:rPr>
          <w:rFonts w:ascii="Arial" w:hAnsi="Arial"/>
          <w:b w:val="0"/>
          <w:i/>
          <w:color w:val="222244"/>
          <w:sz w:val="21"/>
        </w:rPr>
        <w:t>v.</w:t>
      </w:r>
    </w:p>
    <w:p>
      <w:pPr>
        <w:spacing w:before="0" w:after="100"/>
        <w:ind w:left="432" w:right="432"/>
        <w:jc w:val="both"/>
      </w:pPr>
      <w:r>
        <w:rPr>
          <w:rFonts w:ascii="Arial" w:hAnsi="Arial"/>
          <w:b w:val="0"/>
          <w:i/>
          <w:color w:val="222244"/>
          <w:sz w:val="21"/>
        </w:rPr>
        <w:t>[YOUR NAME], Defendant.</w:t>
      </w:r>
    </w:p>
    <w:p>
      <w:pPr>
        <w:spacing w:before="0" w:after="100"/>
        <w:ind w:left="432" w:right="432"/>
        <w:jc w:val="both"/>
      </w:pPr>
      <w:r>
        <w:rPr>
          <w:rFonts w:ascii="Arial" w:hAnsi="Arial"/>
          <w:b w:val="0"/>
          <w:i/>
          <w:color w:val="222244"/>
          <w:sz w:val="21"/>
        </w:rPr>
        <w:t>Case No.: [CASE NUMBER]</w:t>
      </w:r>
    </w:p>
    <w:p>
      <w:pPr>
        <w:spacing w:before="0" w:after="100"/>
        <w:ind w:left="432" w:right="432"/>
        <w:jc w:val="both"/>
      </w:pPr>
      <w:r>
        <w:rPr>
          <w:rFonts w:ascii="Arial" w:hAnsi="Arial"/>
          <w:b w:val="0"/>
          <w:i/>
          <w:color w:val="222244"/>
          <w:sz w:val="21"/>
        </w:rPr>
        <w:t>DEFENDANT'S ANSWER TO DISPOSSESSORY</w:t>
      </w:r>
    </w:p>
    <w:p>
      <w:pPr>
        <w:spacing w:before="0" w:after="100"/>
        <w:ind w:left="432" w:right="432"/>
        <w:jc w:val="both"/>
      </w:pPr>
      <w:r>
        <w:rPr>
          <w:rFonts w:ascii="Arial" w:hAnsi="Arial"/>
          <w:b w:val="0"/>
          <w:i/>
          <w:color w:val="222244"/>
          <w:sz w:val="21"/>
        </w:rPr>
        <w:t>NOW COMES [YOUR NAME], Defendant, and for answer to the Plaintiff's dispossessory affidavit states as follows:</w:t>
      </w:r>
    </w:p>
    <w:p>
      <w:pPr>
        <w:spacing w:before="0" w:after="100"/>
        <w:ind w:left="432" w:right="432"/>
        <w:jc w:val="both"/>
      </w:pPr>
      <w:r>
        <w:rPr>
          <w:rFonts w:ascii="Arial" w:hAnsi="Arial"/>
          <w:b w:val="0"/>
          <w:i/>
          <w:color w:val="222244"/>
          <w:sz w:val="21"/>
        </w:rPr>
        <w:t>1. Defendant [admits / denies] that [he/she] has failed to pay rent in the amount claimed.</w:t>
      </w:r>
    </w:p>
    <w:p>
      <w:pPr>
        <w:spacing w:before="0" w:after="100"/>
        <w:ind w:left="432" w:right="432"/>
        <w:jc w:val="both"/>
      </w:pPr>
      <w:r>
        <w:rPr>
          <w:rFonts w:ascii="Arial" w:hAnsi="Arial"/>
          <w:b w:val="0"/>
          <w:i/>
          <w:color w:val="222244"/>
          <w:sz w:val="21"/>
        </w:rPr>
        <w:t>2. Defendant asserts the following defenses: [List your defenses, e.g., Defendant has paid all rent owed as evidenced by attached receipts / Plaintiff has failed to maintain the premises in a habitable condition / This eviction is retaliatory in violation of O.C.G.A. section 44-7-24 / This eviction is discriminatory in violation of the Fair Housing Act / Plaintiff failed to provide required notice.]</w:t>
      </w:r>
    </w:p>
    <w:p>
      <w:pPr>
        <w:spacing w:before="0" w:after="100"/>
        <w:ind w:left="432" w:right="432"/>
        <w:jc w:val="both"/>
      </w:pPr>
      <w:r>
        <w:rPr>
          <w:rFonts w:ascii="Arial" w:hAnsi="Arial"/>
          <w:b w:val="0"/>
          <w:i/>
          <w:color w:val="222244"/>
          <w:sz w:val="21"/>
        </w:rPr>
        <w:t>3. Defendant requests a hearing before the Court and asserts the right to present evidence and witnesses in support of these defenses.</w:t>
      </w:r>
    </w:p>
    <w:p>
      <w:pPr>
        <w:spacing w:before="0" w:after="100"/>
        <w:ind w:left="432" w:right="432"/>
        <w:jc w:val="both"/>
      </w:pPr>
      <w:r>
        <w:rPr>
          <w:rFonts w:ascii="Arial" w:hAnsi="Arial"/>
          <w:b w:val="0"/>
          <w:i/>
          <w:color w:val="222244"/>
          <w:sz w:val="21"/>
        </w:rPr>
        <w:t>4. Defendant requests that the Court deny the dispossessory and award such other relief as the Court deems just and proper.</w:t>
      </w:r>
    </w:p>
    <w:p>
      <w:pPr>
        <w:spacing w:before="0" w:after="100"/>
        <w:ind w:left="432" w:right="432"/>
        <w:jc w:val="both"/>
      </w:pPr>
      <w:r>
        <w:rPr>
          <w:rFonts w:ascii="Arial" w:hAnsi="Arial"/>
          <w:b w:val="0"/>
          <w:i/>
          <w:color w:val="222244"/>
          <w:sz w:val="21"/>
        </w:rPr>
        <w:t>Respectfully submitted,</w:t>
      </w:r>
    </w:p>
    <w:p>
      <w:pPr>
        <w:spacing w:before="0" w:after="100"/>
        <w:ind w:left="432" w:right="432"/>
        <w:jc w:val="both"/>
      </w:pPr>
      <w:r>
        <w:rPr>
          <w:rFonts w:ascii="Arial" w:hAnsi="Arial"/>
          <w:b w:val="0"/>
          <w:i/>
          <w:color w:val="222244"/>
          <w:sz w:val="21"/>
        </w:rPr>
        <w:t>[YOUR NAME], Defendant, Pro Se</w:t>
      </w:r>
    </w:p>
    <w:p>
      <w:pPr>
        <w:spacing w:before="0" w:after="100"/>
        <w:ind w:left="432" w:right="432"/>
        <w:jc w:val="both"/>
      </w:pPr>
      <w:r>
        <w:rPr>
          <w:rFonts w:ascii="Arial" w:hAnsi="Arial"/>
          <w:b w:val="0"/>
          <w:i/>
          <w:color w:val="222244"/>
          <w:sz w:val="21"/>
        </w:rPr>
        <w:t>[ADDRESS] | [PHONE] | [DATE]</w:t>
      </w:r>
    </w:p>
    <w:p>
      <w:pPr>
        <w:spacing w:before="0" w:after="100"/>
        <w:ind w:left="432" w:right="432"/>
        <w:jc w:val="both"/>
      </w:pPr>
      <w:r>
        <w:rPr>
          <w:rFonts w:ascii="Arial" w:hAnsi="Arial"/>
          <w:b w:val="0"/>
          <w:i/>
          <w:color w:val="222244"/>
          <w:sz w:val="21"/>
        </w:rPr>
        <w:t>CERTIFICATE OF SERVICE: I certify that I have served a copy of this Answer on Plaintiff's counsel/Plaintiff at [address] by [method] on [date].</w:t>
      </w:r>
    </w:p>
    <w:p>
      <w:r>
        <w:br w:type="page"/>
      </w:r>
    </w:p>
    <w:p>
      <w:pPr>
        <w:spacing w:before="0" w:after="80"/>
        <w:jc w:val="center"/>
      </w:pPr>
      <w:r>
        <w:rPr>
          <w:rFonts w:ascii="Arial" w:hAnsi="Arial"/>
          <w:b/>
          <w:i w:val="0"/>
          <w:color w:val="1A1A2E"/>
          <w:sz w:val="26"/>
        </w:rPr>
        <w:t>PART FIVE</w:t>
      </w:r>
    </w:p>
    <w:p>
      <w:pPr>
        <w:spacing w:before="0" w:after="120"/>
        <w:jc w:val="center"/>
      </w:pPr>
      <w:r>
        <w:rPr>
          <w:rFonts w:ascii="Arial" w:hAnsi="Arial"/>
          <w:b/>
          <w:i w:val="0"/>
          <w:color w:val="222244"/>
          <w:sz w:val="22"/>
        </w:rPr>
        <w:t>COMPLETE TABLE OF LEGAL AUTHORITIES</w:t>
      </w:r>
    </w:p>
    <w:p>
      <w:pPr>
        <w:spacing w:before="200" w:after="60"/>
        <w:jc w:val="left"/>
      </w:pPr>
      <w:r>
        <w:rPr>
          <w:rFonts w:ascii="Arial" w:hAnsi="Arial"/>
          <w:b/>
          <w:i w:val="0"/>
          <w:color w:val="222244"/>
          <w:sz w:val="22"/>
        </w:rPr>
        <w:t>United States Supreme Court Cases</w:t>
      </w:r>
    </w:p>
    <w:p>
      <w:pPr>
        <w:pStyle w:val="ListBullet"/>
        <w:spacing w:after="60"/>
        <w:ind w:left="576"/>
      </w:pPr>
      <w:r>
        <w:rPr>
          <w:rFonts w:ascii="Arial" w:hAnsi="Arial"/>
          <w:sz w:val="21"/>
        </w:rPr>
        <w:t>Jones v. Alfred H. Mayer Co., 392 U.S. 409 (1968)</w:t>
      </w:r>
    </w:p>
    <w:p>
      <w:pPr>
        <w:pStyle w:val="ListBullet"/>
        <w:spacing w:after="60"/>
        <w:ind w:left="576"/>
      </w:pPr>
      <w:r>
        <w:rPr>
          <w:rFonts w:ascii="Arial" w:hAnsi="Arial"/>
          <w:sz w:val="21"/>
        </w:rPr>
        <w:t>Runyon v. McCrary, 427 U.S. 160 (1976)</w:t>
      </w:r>
    </w:p>
    <w:p>
      <w:pPr>
        <w:pStyle w:val="ListBullet"/>
        <w:spacing w:after="60"/>
        <w:ind w:left="576"/>
      </w:pPr>
      <w:r>
        <w:rPr>
          <w:rFonts w:ascii="Arial" w:hAnsi="Arial"/>
          <w:sz w:val="21"/>
        </w:rPr>
        <w:t>Texas Department of Housing v. Inclusive Communities Project, 576 U.S. 519 (2015)</w:t>
      </w:r>
    </w:p>
    <w:p>
      <w:pPr>
        <w:pStyle w:val="ListBullet"/>
        <w:spacing w:after="60"/>
        <w:ind w:left="576"/>
      </w:pPr>
      <w:r>
        <w:rPr>
          <w:rFonts w:ascii="Arial" w:hAnsi="Arial"/>
          <w:sz w:val="21"/>
        </w:rPr>
        <w:t>Village of Arlington Heights v. Metropolitan Housing Development Corp., 429 U.S. 252 (1977)</w:t>
      </w:r>
    </w:p>
    <w:p>
      <w:pPr>
        <w:spacing w:before="200" w:after="60"/>
        <w:jc w:val="left"/>
      </w:pPr>
      <w:r>
        <w:rPr>
          <w:rFonts w:ascii="Arial" w:hAnsi="Arial"/>
          <w:b/>
          <w:i w:val="0"/>
          <w:color w:val="222244"/>
          <w:sz w:val="22"/>
        </w:rPr>
        <w:t>Federal Statutes</w:t>
      </w:r>
    </w:p>
    <w:p>
      <w:pPr>
        <w:pStyle w:val="ListBullet"/>
        <w:spacing w:after="60"/>
        <w:ind w:left="576"/>
      </w:pPr>
      <w:r>
        <w:rPr>
          <w:rFonts w:ascii="Arial" w:hAnsi="Arial"/>
          <w:sz w:val="21"/>
        </w:rPr>
        <w:t>U.S. Const. amend. XIII (Badges and Incidents of Slavery)</w:t>
      </w:r>
    </w:p>
    <w:p>
      <w:pPr>
        <w:pStyle w:val="ListBullet"/>
        <w:spacing w:after="60"/>
        <w:ind w:left="576"/>
      </w:pPr>
      <w:r>
        <w:rPr>
          <w:rFonts w:ascii="Arial" w:hAnsi="Arial"/>
          <w:sz w:val="21"/>
        </w:rPr>
        <w:t>U.S. Const. amend. XIV (Equal Protection)</w:t>
      </w:r>
    </w:p>
    <w:p>
      <w:pPr>
        <w:pStyle w:val="ListBullet"/>
        <w:spacing w:after="60"/>
        <w:ind w:left="576"/>
      </w:pPr>
      <w:r>
        <w:rPr>
          <w:rFonts w:ascii="Arial" w:hAnsi="Arial"/>
          <w:sz w:val="21"/>
        </w:rPr>
        <w:t>Fair Housing Act, 42 U.S.C. sections 3601 et seq.</w:t>
      </w:r>
    </w:p>
    <w:p>
      <w:pPr>
        <w:pStyle w:val="ListBullet"/>
        <w:spacing w:after="60"/>
        <w:ind w:left="576"/>
      </w:pPr>
      <w:r>
        <w:rPr>
          <w:rFonts w:ascii="Arial" w:hAnsi="Arial"/>
          <w:sz w:val="21"/>
        </w:rPr>
        <w:t>42 U.S.C. section 1982 (Property Rights of Citizens)</w:t>
      </w:r>
    </w:p>
    <w:p>
      <w:pPr>
        <w:pStyle w:val="ListBullet"/>
        <w:spacing w:after="60"/>
        <w:ind w:left="576"/>
      </w:pPr>
      <w:r>
        <w:rPr>
          <w:rFonts w:ascii="Arial" w:hAnsi="Arial"/>
          <w:sz w:val="21"/>
        </w:rPr>
        <w:t>42 U.S.C. section 1983 (Civil Action for Deprivation of Rights)</w:t>
      </w:r>
    </w:p>
    <w:p>
      <w:pPr>
        <w:pStyle w:val="ListBullet"/>
        <w:spacing w:after="60"/>
        <w:ind w:left="576"/>
      </w:pPr>
      <w:r>
        <w:rPr>
          <w:rFonts w:ascii="Arial" w:hAnsi="Arial"/>
          <w:sz w:val="21"/>
        </w:rPr>
        <w:t>28 U.S.C. section 1658 (Four-Year Statute of Limitations for Section 1982)</w:t>
      </w:r>
    </w:p>
    <w:p>
      <w:pPr>
        <w:spacing w:before="200" w:after="60"/>
        <w:jc w:val="left"/>
      </w:pPr>
      <w:r>
        <w:rPr>
          <w:rFonts w:ascii="Arial" w:hAnsi="Arial"/>
          <w:b/>
          <w:i w:val="0"/>
          <w:color w:val="222244"/>
          <w:sz w:val="22"/>
        </w:rPr>
        <w:t>Georgia Law</w:t>
      </w:r>
    </w:p>
    <w:p>
      <w:pPr>
        <w:pStyle w:val="ListBullet"/>
        <w:spacing w:after="60"/>
        <w:ind w:left="576"/>
      </w:pPr>
      <w:r>
        <w:rPr>
          <w:rFonts w:ascii="Arial" w:hAnsi="Arial"/>
          <w:sz w:val="21"/>
        </w:rPr>
        <w:t>O.C.G.A. sections 44-7-1 et seq. (Georgia Landlord-Tenant Law)</w:t>
      </w:r>
    </w:p>
    <w:p>
      <w:pPr>
        <w:pStyle w:val="ListBullet"/>
        <w:spacing w:after="60"/>
        <w:ind w:left="576"/>
      </w:pPr>
      <w:r>
        <w:rPr>
          <w:rFonts w:ascii="Arial" w:hAnsi="Arial"/>
          <w:sz w:val="21"/>
        </w:rPr>
        <w:t>O.C.G.A. sections 44-7-50 et seq. (Dispossessory Proceedings)</w:t>
      </w:r>
    </w:p>
    <w:p>
      <w:pPr>
        <w:pStyle w:val="ListBullet"/>
        <w:spacing w:after="60"/>
        <w:ind w:left="576"/>
      </w:pPr>
      <w:r>
        <w:rPr>
          <w:rFonts w:ascii="Arial" w:hAnsi="Arial"/>
          <w:sz w:val="21"/>
        </w:rPr>
        <w:t>O.C.G.A. section 44-7-13 (Landlord's Duty to Repair)</w:t>
      </w:r>
    </w:p>
    <w:p>
      <w:pPr>
        <w:pStyle w:val="ListBullet"/>
        <w:spacing w:after="60"/>
        <w:ind w:left="576"/>
      </w:pPr>
      <w:r>
        <w:rPr>
          <w:rFonts w:ascii="Arial" w:hAnsi="Arial"/>
          <w:sz w:val="21"/>
        </w:rPr>
        <w:t>O.C.G.A. section 44-7-14.1 (Wrongful Eviction Damages)</w:t>
      </w:r>
    </w:p>
    <w:p>
      <w:pPr>
        <w:pStyle w:val="ListBullet"/>
        <w:spacing w:after="60"/>
        <w:ind w:left="576"/>
      </w:pPr>
      <w:r>
        <w:rPr>
          <w:rFonts w:ascii="Arial" w:hAnsi="Arial"/>
          <w:sz w:val="21"/>
        </w:rPr>
        <w:t>O.C.G.A. section 44-7-24 (Retaliatory Eviction Prohibition)</w:t>
      </w:r>
    </w:p>
    <w:p>
      <w:pPr>
        <w:pStyle w:val="ListBullet"/>
        <w:spacing w:after="60"/>
        <w:ind w:left="576"/>
      </w:pPr>
      <w:r>
        <w:rPr>
          <w:rFonts w:ascii="Arial" w:hAnsi="Arial"/>
          <w:sz w:val="21"/>
        </w:rPr>
        <w:t>Georgia Fair Housing Act, O.C.G.A. sections 8-3-200 et seq.</w:t>
      </w:r>
    </w:p>
    <w:p>
      <w:pPr>
        <w:spacing w:before="200" w:after="60"/>
        <w:jc w:val="left"/>
      </w:pPr>
      <w:r>
        <w:rPr>
          <w:rFonts w:ascii="Arial" w:hAnsi="Arial"/>
          <w:b/>
          <w:i w:val="0"/>
          <w:color w:val="222244"/>
          <w:sz w:val="22"/>
        </w:rPr>
        <w:t>Resources</w:t>
      </w:r>
    </w:p>
    <w:p>
      <w:pPr>
        <w:pStyle w:val="ListBullet"/>
        <w:spacing w:after="60"/>
        <w:ind w:left="576"/>
      </w:pPr>
      <w:r>
        <w:rPr>
          <w:rFonts w:ascii="Arial" w:hAnsi="Arial"/>
          <w:sz w:val="21"/>
        </w:rPr>
        <w:t>HUD Office of Fair Housing and Equal Opportunity: hud.gov/fairhousing | 1-800-669-9777</w:t>
      </w:r>
    </w:p>
    <w:p>
      <w:pPr>
        <w:pStyle w:val="ListBullet"/>
        <w:spacing w:after="60"/>
        <w:ind w:left="576"/>
      </w:pPr>
      <w:r>
        <w:rPr>
          <w:rFonts w:ascii="Arial" w:hAnsi="Arial"/>
          <w:sz w:val="21"/>
        </w:rPr>
        <w:t>Georgia Legal Aid: 1-844-LEGALAID | lawhelp.org/ga</w:t>
      </w:r>
    </w:p>
    <w:p>
      <w:pPr>
        <w:pStyle w:val="ListBullet"/>
        <w:spacing w:after="60"/>
        <w:ind w:left="576"/>
      </w:pPr>
      <w:r>
        <w:rPr>
          <w:rFonts w:ascii="Arial" w:hAnsi="Arial"/>
          <w:sz w:val="21"/>
        </w:rPr>
        <w:t>Georgia Commission on Equal Opportunity: gceo.georgia.gov</w:t>
      </w:r>
    </w:p>
    <w:p>
      <w:pPr>
        <w:pStyle w:val="ListBullet"/>
        <w:spacing w:after="60"/>
        <w:ind w:left="576"/>
      </w:pPr>
      <w:r>
        <w:rPr>
          <w:rFonts w:ascii="Arial" w:hAnsi="Arial"/>
          <w:sz w:val="21"/>
        </w:rPr>
        <w:t>Athens Land Trust: For community land trust housing resources in Athens, GA</w:t>
      </w:r>
    </w:p>
    <w:p>
      <w:pPr>
        <w:pStyle w:val="ListBullet"/>
        <w:spacing w:after="60"/>
        <w:ind w:left="576"/>
      </w:pPr>
      <w:r>
        <w:rPr>
          <w:rFonts w:ascii="Arial" w:hAnsi="Arial"/>
          <w:sz w:val="21"/>
        </w:rPr>
        <w:t>Athens Area Habitat for Humanity: For homeownership support</w:t>
      </w:r>
    </w:p>
    <w:p>
      <w:pPr>
        <w:spacing w:before="120" w:after="120"/>
        <w:jc w:val="center"/>
        <w:pBdr>
          <w:bottom w:val="single" w:sz="2" w:space="1" w:color="888888"/>
        </w:pBdr>
      </w:pPr>
    </w:p>
    <w:p>
      <w:pPr>
        <w:spacing w:before="80" w:after="0"/>
        <w:jc w:val="center"/>
      </w:pPr>
      <w:r>
        <w:rPr>
          <w:rFonts w:ascii="Arial" w:hAnsi="Arial"/>
          <w:b w:val="0"/>
          <w:i/>
          <w:color w:val="555577"/>
          <w:sz w:val="21"/>
        </w:rPr>
        <w:t>Toolkit Six of the Sovereign Self Legal Defense Series. Not a substitute for licensed legal counsel. May be reproduced and shared freely.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