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val="0"/>
          <w:i w:val="0"/>
          <w:color w:val="555577"/>
          <w:sz w:val="22"/>
        </w:rPr>
        <w:t>TOOLKIT THREE</w:t>
      </w:r>
    </w:p>
    <w:p>
      <w:pPr>
        <w:spacing w:before="0" w:after="40"/>
        <w:jc w:val="center"/>
      </w:pPr>
      <w:r>
        <w:rPr>
          <w:rFonts w:ascii="Arial" w:hAnsi="Arial"/>
          <w:b/>
          <w:i w:val="0"/>
          <w:color w:val="1A1A2E"/>
          <w:sz w:val="30"/>
        </w:rPr>
        <w:t>COURT JURISDICTION CHALLENGE</w:t>
      </w:r>
    </w:p>
    <w:p>
      <w:pPr>
        <w:spacing w:before="0" w:after="40"/>
        <w:jc w:val="center"/>
      </w:pPr>
      <w:r>
        <w:rPr>
          <w:rFonts w:ascii="Arial" w:hAnsi="Arial"/>
          <w:b w:val="0"/>
          <w:i/>
          <w:color w:val="222244"/>
          <w:sz w:val="22"/>
        </w:rPr>
        <w:t>A Legal Defense Guide for the Living Being</w:t>
      </w:r>
    </w:p>
    <w:p>
      <w:pPr>
        <w:spacing w:before="80" w:after="80"/>
        <w:jc w:val="center"/>
        <w:pBdr>
          <w:bottom w:val="single" w:sz="8" w:space="1" w:color="1a1a2e"/>
        </w:pBdr>
      </w:pPr>
    </w:p>
    <w:p>
      <w:pPr>
        <w:spacing w:before="80" w:after="40"/>
        <w:jc w:val="center"/>
      </w:pPr>
      <w:r>
        <w:rPr>
          <w:rFonts w:ascii="Arial" w:hAnsi="Arial"/>
          <w:b w:val="0"/>
          <w:i w:val="0"/>
          <w:color w:val="555577"/>
          <w:sz w:val="20"/>
        </w:rPr>
        <w:t>Rickey Allan Howard  |  Athens, Georgia  |  March 19, 2026</w:t>
      </w:r>
    </w:p>
    <w:p>
      <w:pPr>
        <w:spacing w:before="0" w:after="40"/>
        <w:jc w:val="center"/>
      </w:pPr>
      <w:r>
        <w:rPr>
          <w:rFonts w:ascii="Arial" w:hAnsi="Arial"/>
          <w:b w:val="0"/>
          <w:i/>
          <w:color w:val="555577"/>
          <w:sz w:val="18"/>
        </w:rPr>
        <w:t>Part of the Sovereign Self Legal Defense Series</w:t>
      </w:r>
    </w:p>
    <w:p>
      <w:pPr>
        <w:spacing w:before="0" w:after="160"/>
        <w:jc w:val="center"/>
      </w:pPr>
      <w:r>
        <w:rPr>
          <w:rFonts w:ascii="Arial" w:hAnsi="Arial"/>
          <w:b w:val="0"/>
          <w:i/>
          <w:color w:val="555577"/>
          <w:sz w:val="18"/>
        </w:rPr>
        <w:t>Grounded in: The Doctrine of Pre-Political Sovereign Being</w:t>
      </w:r>
    </w:p>
    <w:p>
      <w:pPr>
        <w:spacing w:before="40" w:after="120"/>
        <w:jc w:val="center"/>
        <w:pBdr>
          <w:bottom w:val="single" w:sz="4" w:space="1" w:color="1a1a2e"/>
        </w:pBdr>
      </w:pPr>
    </w:p>
    <w:p>
      <w:pPr>
        <w:spacing w:before="40" w:after="80"/>
        <w:jc w:val="center"/>
      </w:pPr>
      <w:r>
        <w:rPr>
          <w:rFonts w:ascii="Arial" w:hAnsi="Arial"/>
          <w:b/>
          <w:i w:val="0"/>
          <w:color w:val="1A1A2E"/>
          <w:sz w:val="20"/>
        </w:rPr>
        <w:t>HOW TO USE THIS DOCUMENT</w:t>
      </w:r>
    </w:p>
    <w:p>
      <w:pPr>
        <w:spacing w:before="40" w:after="120"/>
        <w:jc w:val="both"/>
      </w:pPr>
      <w:r>
        <w:rPr>
          <w:rFonts w:ascii="Arial" w:hAnsi="Arial"/>
          <w:b w:val="0"/>
          <w:i w:val="0"/>
          <w:color w:val="000000"/>
          <w:sz w:val="21"/>
        </w:rPr>
        <w:t>This toolkit has four parts. Part One explains what jurisdiction is, why it matters, and the difference between challenging jurisdiction legitimately and making arguments courts will reject. Part Two covers the specific jurisdictional challenges available to the living being in criminal, civil, and administrative proceedings. Part Three provides ready-to-use motion frameworks that can be adapted for any proceeding. Part Four is the complete legal foundation connecting every argument to binding law. Read all four parts before using any motion in this toolkit.</w:t>
      </w:r>
    </w:p>
    <w:p>
      <w:pPr>
        <w:spacing w:before="80" w:after="80"/>
        <w:ind w:left="288"/>
        <w:jc w:val="both"/>
      </w:pPr>
      <w:r>
        <w:rPr>
          <w:rFonts w:ascii="Arial" w:hAnsi="Arial"/>
          <w:b/>
          <w:i w:val="0"/>
          <w:color w:val="8B0000"/>
          <w:sz w:val="21"/>
        </w:rPr>
        <w:t xml:space="preserve">IMPORTANT: </w:t>
      </w:r>
      <w:r>
        <w:rPr>
          <w:rFonts w:ascii="Arial" w:hAnsi="Arial"/>
          <w:b w:val="0"/>
          <w:i w:val="0"/>
          <w:color w:val="000000"/>
          <w:sz w:val="21"/>
        </w:rPr>
        <w:t>Jurisdiction challenges must be made at the earliest opportunity or they may be waived. In most proceedings, jurisdictional objections must be raised before or alongside your first substantive response. Do not wait. Additionally, this toolkit presents legitimate legal jurisdiction challenges grounded in existing law. It does not endorse the claim that courts have no jurisdiction over living beings as a general matter. That claim is rejected by every court and will harm your case. The challenges in this toolkit are specific, grounded, and legally defensible.</w:t>
      </w:r>
    </w:p>
    <w:p>
      <w:r>
        <w:br w:type="page"/>
      </w:r>
    </w:p>
    <w:p>
      <w:pPr>
        <w:spacing w:before="0" w:after="80"/>
        <w:jc w:val="center"/>
      </w:pPr>
      <w:r>
        <w:rPr>
          <w:rFonts w:ascii="Arial" w:hAnsi="Arial"/>
          <w:b/>
          <w:i w:val="0"/>
          <w:color w:val="1A1A2E"/>
          <w:sz w:val="26"/>
        </w:rPr>
        <w:t>PART ONE</w:t>
      </w:r>
    </w:p>
    <w:p>
      <w:pPr>
        <w:spacing w:before="0" w:after="120"/>
        <w:jc w:val="center"/>
      </w:pPr>
      <w:r>
        <w:rPr>
          <w:rFonts w:ascii="Arial" w:hAnsi="Arial"/>
          <w:b/>
          <w:i w:val="0"/>
          <w:color w:val="222244"/>
          <w:sz w:val="22"/>
        </w:rPr>
        <w:t>UNDERSTANDING JURISDICTION: WHAT IT IS AND WHY IT MATTERS</w:t>
      </w:r>
    </w:p>
    <w:p>
      <w:pPr>
        <w:spacing w:before="280" w:after="80"/>
        <w:jc w:val="left"/>
        <w:pBdr>
          <w:bottom w:val="single" w:sz="4" w:space="1" w:color="1a1a2e"/>
        </w:pBdr>
      </w:pPr>
      <w:r>
        <w:rPr>
          <w:rFonts w:ascii="Arial" w:hAnsi="Arial"/>
          <w:b/>
          <w:i w:val="0"/>
          <w:color w:val="1A1A2E"/>
          <w:sz w:val="24"/>
        </w:rPr>
        <w:t>WHAT JURISDICTION MEANS AND WHY IT IS YOUR FIRST LINE OF DEFENSE</w:t>
      </w:r>
    </w:p>
    <w:p>
      <w:pPr>
        <w:spacing w:before="0" w:after="120"/>
        <w:jc w:val="both"/>
      </w:pPr>
      <w:r>
        <w:rPr>
          <w:rFonts w:ascii="Arial" w:hAnsi="Arial"/>
          <w:b w:val="0"/>
          <w:i w:val="0"/>
          <w:color w:val="000000"/>
          <w:sz w:val="21"/>
        </w:rPr>
        <w:t>Jurisdiction is the legal authority of a court to hear and decide a case. It is not optional. A court that lacks jurisdiction has no power to enter a valid judgment against you regardless of the merits of the underlying case. A judgment entered without jurisdiction is void, not merely voidable, and can be attacked at any time. Steel Co. v. Citizens for a Better Environment, 523 U.S. 83 (1998).</w:t>
      </w:r>
    </w:p>
    <w:p>
      <w:pPr>
        <w:spacing w:before="0" w:after="120"/>
        <w:jc w:val="both"/>
      </w:pPr>
      <w:r>
        <w:rPr>
          <w:rFonts w:ascii="Arial" w:hAnsi="Arial"/>
          <w:b w:val="0"/>
          <w:i w:val="0"/>
          <w:color w:val="000000"/>
          <w:sz w:val="21"/>
        </w:rPr>
        <w:t>There are three types of jurisdiction every court must have to act lawfully:</w:t>
      </w:r>
    </w:p>
    <w:p>
      <w:pPr>
        <w:spacing w:before="120" w:after="60"/>
        <w:jc w:val="both"/>
      </w:pPr>
      <w:r>
        <w:rPr>
          <w:rFonts w:ascii="Arial" w:hAnsi="Arial"/>
          <w:b/>
          <w:i w:val="0"/>
          <w:color w:val="222244"/>
          <w:sz w:val="21"/>
        </w:rPr>
        <w:t xml:space="preserve">Subject Matter Jurisdiction:  </w:t>
      </w:r>
      <w:r>
        <w:rPr>
          <w:rFonts w:ascii="Arial" w:hAnsi="Arial"/>
          <w:b w:val="0"/>
          <w:i w:val="0"/>
          <w:color w:val="000000"/>
          <w:sz w:val="21"/>
        </w:rPr>
        <w:t>The court's authority to hear the type of case being brought. Federal courts have limited subject matter jurisdiction — they can only hear cases authorized by the Constitution or federal statute. State courts have general jurisdiction but are still limited by subject matter rules.</w:t>
      </w:r>
    </w:p>
    <w:p>
      <w:pPr>
        <w:spacing w:before="120" w:after="60"/>
        <w:jc w:val="both"/>
      </w:pPr>
      <w:r>
        <w:rPr>
          <w:rFonts w:ascii="Arial" w:hAnsi="Arial"/>
          <w:b/>
          <w:i w:val="0"/>
          <w:color w:val="222244"/>
          <w:sz w:val="21"/>
        </w:rPr>
        <w:t xml:space="preserve">Personal Jurisdiction:  </w:t>
      </w:r>
      <w:r>
        <w:rPr>
          <w:rFonts w:ascii="Arial" w:hAnsi="Arial"/>
          <w:b w:val="0"/>
          <w:i w:val="0"/>
          <w:color w:val="000000"/>
          <w:sz w:val="21"/>
        </w:rPr>
        <w:t>The court's authority over the specific person being brought before it. A court must have a legally sufficient basis to compel your appearance and bind you to its judgment.</w:t>
      </w:r>
    </w:p>
    <w:p>
      <w:pPr>
        <w:spacing w:before="120" w:after="60"/>
        <w:jc w:val="both"/>
      </w:pPr>
      <w:r>
        <w:rPr>
          <w:rFonts w:ascii="Arial" w:hAnsi="Arial"/>
          <w:b/>
          <w:i w:val="0"/>
          <w:color w:val="222244"/>
          <w:sz w:val="21"/>
        </w:rPr>
        <w:t xml:space="preserve">Territorial Jurisdiction:  </w:t>
      </w:r>
      <w:r>
        <w:rPr>
          <w:rFonts w:ascii="Arial" w:hAnsi="Arial"/>
          <w:b w:val="0"/>
          <w:i w:val="0"/>
          <w:color w:val="000000"/>
          <w:sz w:val="21"/>
        </w:rPr>
        <w:t>The court's geographic authority. A court's power is limited to the territory over which it has been granted authority. An action taken outside that territory may be void.</w:t>
      </w:r>
    </w:p>
    <w:p>
      <w:pPr>
        <w:spacing w:before="80" w:after="80"/>
        <w:ind w:left="288"/>
        <w:jc w:val="both"/>
      </w:pPr>
      <w:r>
        <w:rPr>
          <w:rFonts w:ascii="Arial" w:hAnsi="Arial"/>
          <w:b/>
          <w:i w:val="0"/>
          <w:color w:val="7A5C00"/>
          <w:sz w:val="21"/>
        </w:rPr>
        <w:t xml:space="preserve">KEY POINT: </w:t>
      </w:r>
      <w:r>
        <w:rPr>
          <w:rFonts w:ascii="Arial" w:hAnsi="Arial"/>
          <w:b w:val="0"/>
          <w:i w:val="0"/>
          <w:color w:val="000000"/>
          <w:sz w:val="21"/>
        </w:rPr>
        <w:t>You are not challenging whether courts exist or whether law applies to people in general. You are demanding that this specific court demonstrate its specific legal authority over this specific matter involving this specific living being. That is a legitimate and legally recognized demand that every court must answer.</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THE DIFFERENCE BETWEEN LEGITIMATE AND ILLEGITIMATE JURISDICTION CHALLENGES</w:t>
      </w:r>
    </w:p>
    <w:p>
      <w:pPr>
        <w:spacing w:before="200" w:after="60"/>
        <w:jc w:val="left"/>
      </w:pPr>
      <w:r>
        <w:rPr>
          <w:rFonts w:ascii="Arial" w:hAnsi="Arial"/>
          <w:b/>
          <w:i w:val="0"/>
          <w:color w:val="8B0000"/>
          <w:sz w:val="22"/>
        </w:rPr>
        <w:t>Challenges Courts Will Reject</w:t>
      </w:r>
    </w:p>
    <w:p>
      <w:pPr>
        <w:spacing w:before="0" w:after="80"/>
        <w:jc w:val="both"/>
      </w:pPr>
      <w:r>
        <w:rPr>
          <w:rFonts w:ascii="Arial" w:hAnsi="Arial"/>
          <w:b w:val="0"/>
          <w:i w:val="0"/>
          <w:color w:val="000000"/>
          <w:sz w:val="21"/>
        </w:rPr>
        <w:t>The following arguments have been universally rejected by every court at every level. Using them will harm your case, result in sanctions, and label your filing as frivolous. Do not use them:</w:t>
      </w:r>
    </w:p>
    <w:p>
      <w:pPr>
        <w:pStyle w:val="ListBullet"/>
        <w:spacing w:after="60"/>
        <w:ind w:left="576"/>
      </w:pPr>
      <w:r>
        <w:rPr>
          <w:rFonts w:ascii="Arial" w:hAnsi="Arial"/>
          <w:color w:val="8B0000"/>
          <w:sz w:val="21"/>
        </w:rPr>
        <w:t>Claiming that courts have no jurisdiction over living beings, natural persons, or flesh-and-blood humans as a category.</w:t>
      </w:r>
    </w:p>
    <w:p>
      <w:pPr>
        <w:pStyle w:val="ListBullet"/>
        <w:spacing w:after="60"/>
        <w:ind w:left="576"/>
      </w:pPr>
      <w:r>
        <w:rPr>
          <w:rFonts w:ascii="Arial" w:hAnsi="Arial"/>
          <w:color w:val="8B0000"/>
          <w:sz w:val="21"/>
        </w:rPr>
        <w:t>Claiming that by writing 'without prejudice' or 'sui juris' on a document you remove yourself from the court's jurisdiction.</w:t>
      </w:r>
    </w:p>
    <w:p>
      <w:pPr>
        <w:pStyle w:val="ListBullet"/>
        <w:spacing w:after="60"/>
        <w:ind w:left="576"/>
      </w:pPr>
      <w:r>
        <w:rPr>
          <w:rFonts w:ascii="Arial" w:hAnsi="Arial"/>
          <w:color w:val="8B0000"/>
          <w:sz w:val="21"/>
        </w:rPr>
        <w:t>Claiming that the court is a maritime or admiralty court and therefore has no jurisdiction over you.</w:t>
      </w:r>
    </w:p>
    <w:p>
      <w:pPr>
        <w:pStyle w:val="ListBullet"/>
        <w:spacing w:after="60"/>
        <w:ind w:left="576"/>
      </w:pPr>
      <w:r>
        <w:rPr>
          <w:rFonts w:ascii="Arial" w:hAnsi="Arial"/>
          <w:color w:val="8B0000"/>
          <w:sz w:val="21"/>
        </w:rPr>
        <w:t>Claiming that you are not the named defendant because your name is spelled in all capitals.</w:t>
      </w:r>
    </w:p>
    <w:p>
      <w:pPr>
        <w:pStyle w:val="ListBullet"/>
        <w:spacing w:after="60"/>
        <w:ind w:left="576"/>
      </w:pPr>
      <w:r>
        <w:rPr>
          <w:rFonts w:ascii="Arial" w:hAnsi="Arial"/>
          <w:color w:val="8B0000"/>
          <w:sz w:val="21"/>
        </w:rPr>
        <w:t>Claiming that your birth certificate or social security number represents a separate legal entity that you can disavow.</w:t>
      </w:r>
    </w:p>
    <w:p>
      <w:pPr>
        <w:spacing w:before="200" w:after="60"/>
        <w:jc w:val="left"/>
      </w:pPr>
      <w:r>
        <w:rPr>
          <w:rFonts w:ascii="Arial" w:hAnsi="Arial"/>
          <w:b/>
          <w:i w:val="0"/>
          <w:color w:val="004D00"/>
          <w:sz w:val="22"/>
        </w:rPr>
        <w:t>Challenges Courts Must Take Seriously</w:t>
      </w:r>
    </w:p>
    <w:p>
      <w:pPr>
        <w:spacing w:before="0" w:after="80"/>
        <w:jc w:val="both"/>
      </w:pPr>
      <w:r>
        <w:rPr>
          <w:rFonts w:ascii="Arial" w:hAnsi="Arial"/>
          <w:b w:val="0"/>
          <w:i w:val="0"/>
          <w:color w:val="000000"/>
          <w:sz w:val="21"/>
        </w:rPr>
        <w:t>The following are legitimate, legally grounded jurisdictional challenges that courts are required to address on the merits:</w:t>
      </w:r>
    </w:p>
    <w:p>
      <w:pPr>
        <w:pStyle w:val="ListBullet"/>
        <w:spacing w:after="60"/>
        <w:ind w:left="576"/>
      </w:pPr>
      <w:r>
        <w:rPr>
          <w:rFonts w:ascii="Arial" w:hAnsi="Arial"/>
          <w:color w:val="004D00"/>
          <w:sz w:val="21"/>
        </w:rPr>
        <w:t>Subject matter jurisdiction challenges: asserting that the court lacks statutory or constitutional authority to hear this specific type of case.</w:t>
      </w:r>
    </w:p>
    <w:p>
      <w:pPr>
        <w:pStyle w:val="ListBullet"/>
        <w:spacing w:after="60"/>
        <w:ind w:left="576"/>
      </w:pPr>
      <w:r>
        <w:rPr>
          <w:rFonts w:ascii="Arial" w:hAnsi="Arial"/>
          <w:color w:val="004D00"/>
          <w:sz w:val="21"/>
        </w:rPr>
        <w:t>Personal jurisdiction challenges: asserting that the court lacks sufficient legal basis to compel your appearance or bind you to its judgment.</w:t>
      </w:r>
    </w:p>
    <w:p>
      <w:pPr>
        <w:pStyle w:val="ListBullet"/>
        <w:spacing w:after="60"/>
        <w:ind w:left="576"/>
      </w:pPr>
      <w:r>
        <w:rPr>
          <w:rFonts w:ascii="Arial" w:hAnsi="Arial"/>
          <w:color w:val="004D00"/>
          <w:sz w:val="21"/>
        </w:rPr>
        <w:t>Venue challenges: asserting that this court is not the proper geographic location for this proceeding.</w:t>
      </w:r>
    </w:p>
    <w:p>
      <w:pPr>
        <w:pStyle w:val="ListBullet"/>
        <w:spacing w:after="60"/>
        <w:ind w:left="576"/>
      </w:pPr>
      <w:r>
        <w:rPr>
          <w:rFonts w:ascii="Arial" w:hAnsi="Arial"/>
          <w:color w:val="004D00"/>
          <w:sz w:val="21"/>
        </w:rPr>
        <w:t>Standing challenges: asserting that the party bringing the action lacks the legal standing to bring it.</w:t>
      </w:r>
    </w:p>
    <w:p>
      <w:pPr>
        <w:pStyle w:val="ListBullet"/>
        <w:spacing w:after="60"/>
        <w:ind w:left="576"/>
      </w:pPr>
      <w:r>
        <w:rPr>
          <w:rFonts w:ascii="Arial" w:hAnsi="Arial"/>
          <w:color w:val="004D00"/>
          <w:sz w:val="21"/>
        </w:rPr>
        <w:t>Constitutional challenges: asserting that the statute or charge underlying the proceeding violates the Constitution as applied to you.</w:t>
      </w:r>
    </w:p>
    <w:p>
      <w:pPr>
        <w:pStyle w:val="ListBullet"/>
        <w:spacing w:after="60"/>
        <w:ind w:left="576"/>
      </w:pPr>
      <w:r>
        <w:rPr>
          <w:rFonts w:ascii="Arial" w:hAnsi="Arial"/>
          <w:color w:val="004D00"/>
          <w:sz w:val="21"/>
        </w:rPr>
        <w:t>RFRA challenges: asserting that the proceeding substantially burdens sincerely held religious belief without compelling justification.</w:t>
      </w:r>
    </w:p>
    <w:p>
      <w:pPr>
        <w:pStyle w:val="ListBullet"/>
        <w:spacing w:after="60"/>
        <w:ind w:left="576"/>
      </w:pPr>
      <w:r>
        <w:rPr>
          <w:rFonts w:ascii="Arial" w:hAnsi="Arial"/>
          <w:color w:val="004D00"/>
          <w:sz w:val="21"/>
        </w:rPr>
        <w:t>Due process challenges: asserting that the proceeding fails to provide constitutionally adequate notice and opportunity to be heard.</w:t>
      </w:r>
    </w:p>
    <w:p>
      <w:pPr>
        <w:pStyle w:val="ListBullet"/>
        <w:spacing w:after="60"/>
        <w:ind w:left="576"/>
      </w:pPr>
      <w:r>
        <w:rPr>
          <w:rFonts w:ascii="Arial" w:hAnsi="Arial"/>
          <w:color w:val="004D00"/>
          <w:sz w:val="21"/>
        </w:rPr>
        <w:t>Selective prosecution challenges: asserting that you are being prosecuted based on race or other protected characteristic rather than on the merits.</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TWO</w:t>
      </w:r>
    </w:p>
    <w:p>
      <w:pPr>
        <w:spacing w:before="0" w:after="120"/>
        <w:jc w:val="center"/>
      </w:pPr>
      <w:r>
        <w:rPr>
          <w:rFonts w:ascii="Arial" w:hAnsi="Arial"/>
          <w:b/>
          <w:i w:val="0"/>
          <w:color w:val="222244"/>
          <w:sz w:val="22"/>
        </w:rPr>
        <w:t>SPECIFIC JURISDICTIONAL CHALLENGES BY PROCEEDING TYPE</w:t>
      </w:r>
    </w:p>
    <w:p>
      <w:pPr>
        <w:spacing w:before="280" w:after="80"/>
        <w:jc w:val="left"/>
        <w:pBdr>
          <w:bottom w:val="single" w:sz="4" w:space="1" w:color="1a1a2e"/>
        </w:pBdr>
      </w:pPr>
      <w:r>
        <w:rPr>
          <w:rFonts w:ascii="Arial" w:hAnsi="Arial"/>
          <w:b/>
          <w:i w:val="0"/>
          <w:color w:val="1A1A2E"/>
          <w:sz w:val="24"/>
        </w:rPr>
        <w:t>CRIMINAL PROCEEDINGS: CHALLENGING JURISDICTION AND STANDING</w:t>
      </w:r>
    </w:p>
    <w:p>
      <w:pPr>
        <w:spacing w:before="200" w:after="60"/>
        <w:jc w:val="left"/>
      </w:pPr>
      <w:r>
        <w:rPr>
          <w:rFonts w:ascii="Arial" w:hAnsi="Arial"/>
          <w:b/>
          <w:i w:val="0"/>
          <w:color w:val="222244"/>
          <w:sz w:val="22"/>
        </w:rPr>
        <w:t>A. The Charging Instrument Challenge</w:t>
      </w:r>
    </w:p>
    <w:p>
      <w:pPr>
        <w:spacing w:before="0" w:after="80"/>
        <w:jc w:val="both"/>
      </w:pPr>
      <w:r>
        <w:rPr>
          <w:rFonts w:ascii="Arial" w:hAnsi="Arial"/>
          <w:b w:val="0"/>
          <w:i w:val="0"/>
          <w:color w:val="000000"/>
          <w:sz w:val="21"/>
        </w:rPr>
        <w:t>Every criminal prosecution must begin with a legally sufficient charging instrument: an indictment, information, or complaint that meets the constitutional and statutory requirements for that type of charge. A defective charging instrument deprives the court of jurisdiction to proceed. The charging instrument must:</w:t>
      </w:r>
    </w:p>
    <w:p>
      <w:pPr>
        <w:pStyle w:val="ListBullet"/>
        <w:spacing w:after="60"/>
        <w:ind w:left="576"/>
      </w:pPr>
      <w:r>
        <w:rPr>
          <w:rFonts w:ascii="Arial" w:hAnsi="Arial"/>
          <w:sz w:val="21"/>
        </w:rPr>
        <w:t>State the specific offense charged with sufficient particularity to enable you to prepare a defense and to plead the judgment as a bar to future prosecution for the same offense.</w:t>
      </w:r>
    </w:p>
    <w:p>
      <w:pPr>
        <w:pStyle w:val="ListBullet"/>
        <w:spacing w:after="60"/>
        <w:ind w:left="576"/>
      </w:pPr>
      <w:r>
        <w:rPr>
          <w:rFonts w:ascii="Arial" w:hAnsi="Arial"/>
          <w:sz w:val="21"/>
        </w:rPr>
        <w:t>Be signed by the appropriate officer: a grand jury foreperson for an indictment, or a prosecutor for an information.</w:t>
      </w:r>
    </w:p>
    <w:p>
      <w:pPr>
        <w:pStyle w:val="ListBullet"/>
        <w:spacing w:after="60"/>
        <w:ind w:left="576"/>
      </w:pPr>
      <w:r>
        <w:rPr>
          <w:rFonts w:ascii="Arial" w:hAnsi="Arial"/>
          <w:sz w:val="21"/>
        </w:rPr>
        <w:t>Be returned in open court for an indictment, or filed with the court for an information.</w:t>
      </w:r>
    </w:p>
    <w:p>
      <w:pPr>
        <w:pStyle w:val="ListBullet"/>
        <w:spacing w:after="60"/>
        <w:ind w:left="576"/>
      </w:pPr>
      <w:r>
        <w:rPr>
          <w:rFonts w:ascii="Arial" w:hAnsi="Arial"/>
          <w:sz w:val="21"/>
        </w:rPr>
        <w:t>Charge an offense that is a crime under the applicable statute.</w:t>
      </w:r>
    </w:p>
    <w:p>
      <w:pPr>
        <w:pStyle w:val="ListBullet"/>
        <w:spacing w:after="60"/>
        <w:ind w:left="576"/>
      </w:pPr>
      <w:r>
        <w:rPr>
          <w:rFonts w:ascii="Arial" w:hAnsi="Arial"/>
          <w:sz w:val="21"/>
        </w:rPr>
        <w:t>Not be duplicitous (charging two separate offenses in one count) or multiplicitous (charging the same offense in multiple counts).</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U.S. Const. amend. V: No person shall be held to answer for a capital or otherwise infamous crime unless on a presentment or indictment of a grand jury. U.S. Const. amend. VI: The accused shall be informed of the nature and cause of the accusation. Russell v. United States, 369 U.S. 749 (1962): An indictment must sufficiently apprise the defendant of what he must be prepared to meet.</w:t>
      </w:r>
    </w:p>
    <w:p>
      <w:pPr>
        <w:spacing w:before="200" w:after="60"/>
        <w:jc w:val="left"/>
      </w:pPr>
      <w:r>
        <w:rPr>
          <w:rFonts w:ascii="Arial" w:hAnsi="Arial"/>
          <w:b/>
          <w:i w:val="0"/>
          <w:color w:val="222244"/>
          <w:sz w:val="22"/>
        </w:rPr>
        <w:t>B. The Selective Prosecution Challenge</w:t>
      </w:r>
    </w:p>
    <w:p>
      <w:pPr>
        <w:spacing w:before="0" w:after="120"/>
        <w:jc w:val="both"/>
      </w:pPr>
      <w:r>
        <w:rPr>
          <w:rFonts w:ascii="Arial" w:hAnsi="Arial"/>
          <w:b w:val="0"/>
          <w:i w:val="0"/>
          <w:color w:val="000000"/>
          <w:sz w:val="21"/>
        </w:rPr>
        <w:t>The Equal Protection Clause of the Fourteenth Amendment prohibits the government from prosecuting a person based on race or other protected characteristic. A selective prosecution claim requires showing that the prosecution had a discriminatory effect and was motivated by a discriminatory purpose. United States v. Armstrong, 517 U.S. 456 (1996).</w:t>
      </w:r>
    </w:p>
    <w:p>
      <w:pPr>
        <w:spacing w:before="0" w:after="120"/>
        <w:jc w:val="both"/>
      </w:pPr>
      <w:r>
        <w:rPr>
          <w:rFonts w:ascii="Arial" w:hAnsi="Arial"/>
          <w:b w:val="0"/>
          <w:i w:val="0"/>
          <w:color w:val="000000"/>
          <w:sz w:val="21"/>
        </w:rPr>
        <w:t>To obtain discovery on a selective prosecution claim, you must present some evidence that similarly situated individuals of a different race were not prosecuted. The documented patterns of racially disparate prosecution in Athens, Georgia and nationally constitute the systemic evidentiary background that supports this claim in individual cases.</w:t>
      </w:r>
    </w:p>
    <w:p>
      <w:pPr>
        <w:spacing w:before="80" w:after="40"/>
        <w:ind w:left="288"/>
        <w:jc w:val="left"/>
      </w:pPr>
      <w:r>
        <w:rPr>
          <w:rFonts w:ascii="Arial" w:hAnsi="Arial"/>
          <w:b/>
          <w:i w:val="0"/>
          <w:color w:val="004D00"/>
          <w:sz w:val="20"/>
        </w:rPr>
        <w:t xml:space="preserve">FILE THIS:  </w:t>
      </w:r>
      <w:r>
        <w:rPr>
          <w:rFonts w:ascii="Arial" w:hAnsi="Arial"/>
          <w:b w:val="0"/>
          <w:i/>
          <w:color w:val="222244"/>
          <w:sz w:val="21"/>
        </w:rPr>
        <w:t>A Motion for Discovery on Selective Prosecution, presenting statistical evidence of racially disparate prosecution rates in the relevant jurisdiction and requesting disclosure of the prosecutor's charging decisions in comparable cases.</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United States v. Armstrong, 517 U.S. 456 (1996): Standard for selective prosecution claims and discovery. Yick Wo v. Hopkins, 118 U.S. 356 (1886): Equal and impartial administration of the law is required. Wayte v. United States, 470 U.S. 598 (1985): Prosecutorial discretion does not extend to discriminatory selection.</w:t>
      </w:r>
    </w:p>
    <w:p>
      <w:pPr>
        <w:spacing w:before="200" w:after="60"/>
        <w:jc w:val="left"/>
      </w:pPr>
      <w:r>
        <w:rPr>
          <w:rFonts w:ascii="Arial" w:hAnsi="Arial"/>
          <w:b/>
          <w:i w:val="0"/>
          <w:color w:val="222244"/>
          <w:sz w:val="22"/>
        </w:rPr>
        <w:t>C. The Constitutional Challenge to the Underlying Statute</w:t>
      </w:r>
    </w:p>
    <w:p>
      <w:pPr>
        <w:spacing w:before="0" w:after="80"/>
        <w:jc w:val="both"/>
      </w:pPr>
      <w:r>
        <w:rPr>
          <w:rFonts w:ascii="Arial" w:hAnsi="Arial"/>
          <w:b w:val="0"/>
          <w:i w:val="0"/>
          <w:color w:val="000000"/>
          <w:sz w:val="21"/>
        </w:rPr>
        <w:t>Every criminal charge rests on a statute. That statute must be constitutional as applied to you. The following constitutional challenges are available in any criminal proceeding:</w:t>
      </w:r>
    </w:p>
    <w:p>
      <w:pPr>
        <w:pStyle w:val="ListBullet"/>
        <w:spacing w:after="60"/>
        <w:ind w:left="576"/>
      </w:pPr>
      <w:r>
        <w:rPr>
          <w:rFonts w:ascii="Arial" w:hAnsi="Arial"/>
          <w:sz w:val="21"/>
        </w:rPr>
        <w:t>Vagueness challenge: A statute is unconstitutionally vague if it fails to give fair notice of what conduct is prohibited or if it invites arbitrary enforcement. Void for vagueness doctrine. Grayned v. City of Rockford, 408 U.S. 104 (1972).</w:t>
      </w:r>
    </w:p>
    <w:p>
      <w:pPr>
        <w:pStyle w:val="ListBullet"/>
        <w:spacing w:after="60"/>
        <w:ind w:left="576"/>
      </w:pPr>
      <w:r>
        <w:rPr>
          <w:rFonts w:ascii="Arial" w:hAnsi="Arial"/>
          <w:sz w:val="21"/>
        </w:rPr>
        <w:t>Overbreadth challenge: A statute is unconstitutionally overbroad if it prohibits a substantial amount of constitutionally protected conduct in addition to unprotected conduct. Broadrick v. Oklahoma, 413 U.S. 601 (1973).</w:t>
      </w:r>
    </w:p>
    <w:p>
      <w:pPr>
        <w:pStyle w:val="ListBullet"/>
        <w:spacing w:after="60"/>
        <w:ind w:left="576"/>
      </w:pPr>
      <w:r>
        <w:rPr>
          <w:rFonts w:ascii="Arial" w:hAnsi="Arial"/>
          <w:sz w:val="21"/>
        </w:rPr>
        <w:t>First Amendment challenge: If the charged conduct constitutes protected speech, assembly, petition, or religious exercise, the prosecution must withstand First Amendment scrutiny.</w:t>
      </w:r>
    </w:p>
    <w:p>
      <w:pPr>
        <w:pStyle w:val="ListBullet"/>
        <w:spacing w:after="60"/>
        <w:ind w:left="576"/>
      </w:pPr>
      <w:r>
        <w:rPr>
          <w:rFonts w:ascii="Arial" w:hAnsi="Arial"/>
          <w:sz w:val="21"/>
        </w:rPr>
        <w:t>RFRA challenge: If the charged conduct is an exercise of sincerely held religious belief, the government must demonstrate compelling interest and least restrictive means to proceed. Gonzales v. O Centro, 546 U.S. 418 (2006).</w:t>
      </w:r>
    </w:p>
    <w:p>
      <w:pPr>
        <w:pStyle w:val="ListBullet"/>
        <w:spacing w:after="60"/>
        <w:ind w:left="576"/>
      </w:pPr>
      <w:r>
        <w:rPr>
          <w:rFonts w:ascii="Arial" w:hAnsi="Arial"/>
          <w:sz w:val="21"/>
        </w:rPr>
        <w:t>Equal protection challenge: If the statute is applied in a racially discriminatory manner, the application violates the Equal Protection Clause regardless of the statute's facial neutrality.</w:t>
      </w:r>
    </w:p>
    <w:p>
      <w:pPr>
        <w:spacing w:before="200" w:after="60"/>
        <w:jc w:val="left"/>
      </w:pPr>
      <w:r>
        <w:rPr>
          <w:rFonts w:ascii="Arial" w:hAnsi="Arial"/>
          <w:b/>
          <w:i w:val="0"/>
          <w:color w:val="222244"/>
          <w:sz w:val="22"/>
        </w:rPr>
        <w:t>D. The Speedy Trial Challenge</w:t>
      </w:r>
    </w:p>
    <w:p>
      <w:pPr>
        <w:spacing w:before="0" w:after="120"/>
        <w:jc w:val="both"/>
      </w:pPr>
      <w:r>
        <w:rPr>
          <w:rFonts w:ascii="Arial" w:hAnsi="Arial"/>
          <w:b w:val="0"/>
          <w:i w:val="0"/>
          <w:color w:val="000000"/>
          <w:sz w:val="21"/>
        </w:rPr>
        <w:t>The Sixth Amendment guarantees the right to a speedy trial. Unreasonable delay in bringing a case to trial violates this right and can result in dismissal of the charges with prejudice. The Supreme Court in Barker v. Wingo, 407 U.S. 514 (1972), established a four-factor balancing test: the length of the delay, the reason for the delay, the defendant's assertion of the right, and prejudice to the defendant. In Georgia, the Speedy Trial Act, O.C.G.A. section 17-7-170, provides that a defendant who files a demand for speedy trial must be tried within two terms of court or the case must be dismissed.</w:t>
      </w:r>
    </w:p>
    <w:p>
      <w:pPr>
        <w:spacing w:before="80" w:after="40"/>
        <w:ind w:left="288"/>
        <w:jc w:val="left"/>
      </w:pPr>
      <w:r>
        <w:rPr>
          <w:rFonts w:ascii="Arial" w:hAnsi="Arial"/>
          <w:b/>
          <w:i w:val="0"/>
          <w:color w:val="004D00"/>
          <w:sz w:val="20"/>
        </w:rPr>
        <w:t xml:space="preserve">FILE THIS:  </w:t>
      </w:r>
      <w:r>
        <w:rPr>
          <w:rFonts w:ascii="Arial" w:hAnsi="Arial"/>
          <w:b w:val="0"/>
          <w:i/>
          <w:color w:val="222244"/>
          <w:sz w:val="21"/>
        </w:rPr>
        <w:t>A Demand for Speedy Trial pursuant to O.C.G.A. section 17-7-170 and the Sixth Amendment to the United States Constitution.</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Barker v. Wingo, 407 U.S. 514 (1972): Four-factor speedy trial balancing test. Strunk v. United States, 412 U.S. 434 (1973): Dismissal with prejudice is the remedy for a speedy trial violation. O.C.G.A. section 17-7-170: Georgia Speedy Trial Act.</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CIVIL PROCEEDINGS: CHALLENGING JURISDICTION AND STANDING</w:t>
      </w:r>
    </w:p>
    <w:p>
      <w:pPr>
        <w:spacing w:before="200" w:after="60"/>
        <w:jc w:val="left"/>
      </w:pPr>
      <w:r>
        <w:rPr>
          <w:rFonts w:ascii="Arial" w:hAnsi="Arial"/>
          <w:b/>
          <w:i w:val="0"/>
          <w:color w:val="222244"/>
          <w:sz w:val="22"/>
        </w:rPr>
        <w:t>A. Subject Matter Jurisdiction in Federal Court</w:t>
      </w:r>
    </w:p>
    <w:p>
      <w:pPr>
        <w:spacing w:before="0" w:after="80"/>
        <w:jc w:val="both"/>
      </w:pPr>
      <w:r>
        <w:rPr>
          <w:rFonts w:ascii="Arial" w:hAnsi="Arial"/>
          <w:b w:val="0"/>
          <w:i w:val="0"/>
          <w:color w:val="000000"/>
          <w:sz w:val="21"/>
        </w:rPr>
        <w:t>Federal courts are courts of limited jurisdiction. They may only hear cases that fall within the categories authorized by Article III of the Constitution and by federal statute. The two primary bases for federal subject matter jurisdiction are:</w:t>
      </w:r>
    </w:p>
    <w:p>
      <w:pPr>
        <w:pStyle w:val="ListBullet"/>
        <w:spacing w:after="60"/>
        <w:ind w:left="576"/>
      </w:pPr>
      <w:r>
        <w:rPr>
          <w:rFonts w:ascii="Arial" w:hAnsi="Arial"/>
          <w:sz w:val="21"/>
        </w:rPr>
        <w:t>Federal question jurisdiction under 28 U.S.C. section 1331: The case arises under the Constitution, laws, or treaties of the United States.</w:t>
      </w:r>
    </w:p>
    <w:p>
      <w:pPr>
        <w:pStyle w:val="ListBullet"/>
        <w:spacing w:after="60"/>
        <w:ind w:left="576"/>
      </w:pPr>
      <w:r>
        <w:rPr>
          <w:rFonts w:ascii="Arial" w:hAnsi="Arial"/>
          <w:sz w:val="21"/>
        </w:rPr>
        <w:t>Diversity jurisdiction under 28 U.S.C. section 1332: The parties are citizens of different states and the amount in controversy exceeds $75,000.</w:t>
      </w:r>
    </w:p>
    <w:p>
      <w:pPr>
        <w:spacing w:before="0" w:after="120"/>
        <w:jc w:val="both"/>
      </w:pPr>
      <w:r>
        <w:rPr>
          <w:rFonts w:ascii="Arial" w:hAnsi="Arial"/>
          <w:b w:val="0"/>
          <w:i w:val="0"/>
          <w:color w:val="000000"/>
          <w:sz w:val="21"/>
        </w:rPr>
        <w:t>If neither basis is present, the federal court lacks subject matter jurisdiction and must dismiss the case. Subject matter jurisdiction cannot be waived and can be raised at any time, including for the first time on appeal. Arbaugh v. Y&amp;H Corp., 546 U.S. 500 (2006).</w:t>
      </w:r>
    </w:p>
    <w:p>
      <w:pPr>
        <w:spacing w:before="80" w:after="40"/>
        <w:ind w:left="288"/>
        <w:jc w:val="left"/>
      </w:pPr>
      <w:r>
        <w:rPr>
          <w:rFonts w:ascii="Arial" w:hAnsi="Arial"/>
          <w:b/>
          <w:i w:val="0"/>
          <w:color w:val="004D00"/>
          <w:sz w:val="20"/>
        </w:rPr>
        <w:t xml:space="preserve">FILE THIS:  </w:t>
      </w:r>
      <w:r>
        <w:rPr>
          <w:rFonts w:ascii="Arial" w:hAnsi="Arial"/>
          <w:b w:val="0"/>
          <w:i/>
          <w:color w:val="222244"/>
          <w:sz w:val="21"/>
        </w:rPr>
        <w:t>A Motion to Dismiss for Lack of Subject Matter Jurisdiction under Federal Rule of Civil Procedure 12(b)(1), asserting that the court lacks constitutional or statutory authority to hear this matter.</w:t>
      </w:r>
    </w:p>
    <w:p>
      <w:pPr>
        <w:spacing w:before="200" w:after="60"/>
        <w:jc w:val="left"/>
      </w:pPr>
      <w:r>
        <w:rPr>
          <w:rFonts w:ascii="Arial" w:hAnsi="Arial"/>
          <w:b/>
          <w:i w:val="0"/>
          <w:color w:val="222244"/>
          <w:sz w:val="22"/>
        </w:rPr>
        <w:t>B. Personal Jurisdiction Challenge</w:t>
      </w:r>
    </w:p>
    <w:p>
      <w:pPr>
        <w:spacing w:before="0" w:after="120"/>
        <w:jc w:val="both"/>
      </w:pPr>
      <w:r>
        <w:rPr>
          <w:rFonts w:ascii="Arial" w:hAnsi="Arial"/>
          <w:b w:val="0"/>
          <w:i w:val="0"/>
          <w:color w:val="000000"/>
          <w:sz w:val="21"/>
        </w:rPr>
        <w:t>A court must have personal jurisdiction over you to enter a binding judgment. In federal court, personal jurisdiction is governed by the Due Process Clause of the Fifth or Fourteenth Amendment and by the long-arm statute of the state in which the court sits. Personal jurisdiction requires that you have sufficient minimum contacts with the forum state such that the exercise of jurisdiction does not offend traditional notions of fair play and substantial justice. International Shoe Co. v. Washington, 326 U.S. 310 (1945).</w:t>
      </w:r>
    </w:p>
    <w:p>
      <w:pPr>
        <w:spacing w:before="0" w:after="120"/>
        <w:jc w:val="both"/>
      </w:pPr>
      <w:r>
        <w:rPr>
          <w:rFonts w:ascii="Arial" w:hAnsi="Arial"/>
          <w:b w:val="0"/>
          <w:i w:val="0"/>
          <w:color w:val="000000"/>
          <w:sz w:val="21"/>
        </w:rPr>
        <w:t>If you are a resident of Georgia and the proceeding is brought in a Georgia court, personal jurisdiction is generally established. However, if a proceeding is brought in a forum where you have no contacts, a personal jurisdiction challenge is available and must be raised in your first responsive pleading or it is waived.</w:t>
      </w:r>
    </w:p>
    <w:p>
      <w:pPr>
        <w:spacing w:before="80" w:after="40"/>
        <w:ind w:left="288"/>
        <w:jc w:val="left"/>
      </w:pPr>
      <w:r>
        <w:rPr>
          <w:rFonts w:ascii="Arial" w:hAnsi="Arial"/>
          <w:b/>
          <w:i w:val="0"/>
          <w:color w:val="004D00"/>
          <w:sz w:val="20"/>
        </w:rPr>
        <w:t xml:space="preserve">FILE THIS:  </w:t>
      </w:r>
      <w:r>
        <w:rPr>
          <w:rFonts w:ascii="Arial" w:hAnsi="Arial"/>
          <w:b w:val="0"/>
          <w:i/>
          <w:color w:val="222244"/>
          <w:sz w:val="21"/>
        </w:rPr>
        <w:t>A Motion to Dismiss for Lack of Personal Jurisdiction under Federal Rule of Civil Procedure 12(b)(2) or Georgia Civil Practice Act O.C.G.A. section 9-11-12(b)(2), asserting that the court lacks sufficient legal basis to compel your appearance or bind you to its judgment.</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International Shoe Co. v. Washington, 326 U.S. 310 (1945): Minimum contacts standard for personal jurisdiction. World-Wide Volkswagen Corp. v. Woodson, 444 U.S. 286 (1980): Purposeful availment requirement. Bristol-Myers Squibb Co. v. Superior Court, 582 U.S. 255 (2017): Specific jurisdiction requires connection between the forum and the specific claims at issue.</w:t>
      </w:r>
    </w:p>
    <w:p>
      <w:pPr>
        <w:spacing w:before="200" w:after="60"/>
        <w:jc w:val="left"/>
      </w:pPr>
      <w:r>
        <w:rPr>
          <w:rFonts w:ascii="Arial" w:hAnsi="Arial"/>
          <w:b/>
          <w:i w:val="0"/>
          <w:color w:val="222244"/>
          <w:sz w:val="22"/>
        </w:rPr>
        <w:t>C. Standing Challenge</w:t>
      </w:r>
    </w:p>
    <w:p>
      <w:pPr>
        <w:spacing w:before="0" w:after="120"/>
        <w:jc w:val="both"/>
      </w:pPr>
      <w:r>
        <w:rPr>
          <w:rFonts w:ascii="Arial" w:hAnsi="Arial"/>
          <w:b w:val="0"/>
          <w:i w:val="0"/>
          <w:color w:val="000000"/>
          <w:sz w:val="21"/>
        </w:rPr>
        <w:t>Article III of the Constitution limits federal judicial power to actual cases and controversies. To have standing to bring a case, the plaintiff must demonstrate: an injury in fact that is concrete and particularized; a causal connection between the injury and the conduct complained of; and redressability, meaning a favorable decision would likely redress the injury. Lujan v. Defenders of Wildlife, 504 U.S. 555 (1992).</w:t>
      </w:r>
    </w:p>
    <w:p>
      <w:pPr>
        <w:spacing w:before="0" w:after="120"/>
        <w:jc w:val="both"/>
      </w:pPr>
      <w:r>
        <w:rPr>
          <w:rFonts w:ascii="Arial" w:hAnsi="Arial"/>
          <w:b w:val="0"/>
          <w:i w:val="0"/>
          <w:color w:val="000000"/>
          <w:sz w:val="21"/>
        </w:rPr>
        <w:t>When a government agency or private party brings an action against you, you may challenge whether that party has standing, whether the agency has statutory authority to bring this type of action, and whether the court has authority to grant the remedy sought.</w:t>
      </w:r>
    </w:p>
    <w:p>
      <w:pPr>
        <w:spacing w:before="80" w:after="40"/>
        <w:ind w:left="288"/>
        <w:jc w:val="left"/>
      </w:pPr>
      <w:r>
        <w:rPr>
          <w:rFonts w:ascii="Arial" w:hAnsi="Arial"/>
          <w:b/>
          <w:i w:val="0"/>
          <w:color w:val="004D00"/>
          <w:sz w:val="20"/>
        </w:rPr>
        <w:t xml:space="preserve">FILE THIS:  </w:t>
      </w:r>
      <w:r>
        <w:rPr>
          <w:rFonts w:ascii="Arial" w:hAnsi="Arial"/>
          <w:b w:val="0"/>
          <w:i/>
          <w:color w:val="222244"/>
          <w:sz w:val="21"/>
        </w:rPr>
        <w:t>A Motion to Dismiss for Lack of Standing under Federal Rule of Civil Procedure 12(b)(1), asserting that the plaintiff or petitioner has failed to demonstrate a concrete, particularized injury in fact sufficient to confer Article III standing.</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ADMINISTRATIVE PROCEEDINGS: CHALLENGING AGENCY JURISDICTION</w:t>
      </w:r>
    </w:p>
    <w:p>
      <w:pPr>
        <w:spacing w:before="200" w:after="60"/>
        <w:jc w:val="left"/>
      </w:pPr>
      <w:r>
        <w:rPr>
          <w:rFonts w:ascii="Arial" w:hAnsi="Arial"/>
          <w:b/>
          <w:i w:val="0"/>
          <w:color w:val="222244"/>
          <w:sz w:val="22"/>
        </w:rPr>
        <w:t>A. The Loper Bright Challenge to Agency Authority</w:t>
      </w:r>
    </w:p>
    <w:p>
      <w:pPr>
        <w:spacing w:before="0" w:after="120"/>
        <w:jc w:val="both"/>
      </w:pPr>
      <w:r>
        <w:rPr>
          <w:rFonts w:ascii="Arial" w:hAnsi="Arial"/>
          <w:b w:val="0"/>
          <w:i w:val="0"/>
          <w:color w:val="000000"/>
          <w:sz w:val="21"/>
        </w:rPr>
        <w:t>Since Loper Bright Enterprises v. Raimondo, 603 U.S. ___ (2024), courts must independently interpret statutes rather than defer to agency interpretations. This creates a powerful jurisdictional challenge in every administrative proceeding: does the agency actually have statutory authority to take this action, or does that authority rest on the agency's own expansive interpretation of an ambiguous statute?</w:t>
      </w:r>
    </w:p>
    <w:p>
      <w:pPr>
        <w:spacing w:before="0" w:after="80"/>
        <w:jc w:val="both"/>
      </w:pPr>
      <w:r>
        <w:rPr>
          <w:rFonts w:ascii="Arial" w:hAnsi="Arial"/>
          <w:b w:val="0"/>
          <w:i w:val="0"/>
          <w:color w:val="000000"/>
          <w:sz w:val="21"/>
        </w:rPr>
        <w:t>The challenge proceeds in three steps:</w:t>
      </w:r>
    </w:p>
    <w:p>
      <w:pPr>
        <w:pStyle w:val="ListBullet"/>
        <w:spacing w:after="60"/>
        <w:ind w:left="576"/>
      </w:pPr>
      <w:r>
        <w:rPr>
          <w:rFonts w:ascii="Arial" w:hAnsi="Arial"/>
          <w:sz w:val="21"/>
        </w:rPr>
        <w:t>Identify the specific statutory provision the agency claims authorizes the action against you.</w:t>
      </w:r>
    </w:p>
    <w:p>
      <w:pPr>
        <w:pStyle w:val="ListBullet"/>
        <w:spacing w:after="60"/>
        <w:ind w:left="576"/>
      </w:pPr>
      <w:r>
        <w:rPr>
          <w:rFonts w:ascii="Arial" w:hAnsi="Arial"/>
          <w:sz w:val="21"/>
        </w:rPr>
        <w:t>Determine whether that provision is ambiguous or whether the agency's interpretation goes beyond its plain text.</w:t>
      </w:r>
    </w:p>
    <w:p>
      <w:pPr>
        <w:pStyle w:val="ListBullet"/>
        <w:spacing w:after="60"/>
        <w:ind w:left="576"/>
      </w:pPr>
      <w:r>
        <w:rPr>
          <w:rFonts w:ascii="Arial" w:hAnsi="Arial"/>
          <w:sz w:val="21"/>
        </w:rPr>
        <w:t>Argue that under Loper Bright, the court must independently interpret the statute and that the agency's action exceeds the statutory authority Congress actually granted.</w:t>
      </w:r>
    </w:p>
    <w:p>
      <w:pPr>
        <w:spacing w:before="80" w:after="40"/>
        <w:ind w:left="288"/>
        <w:jc w:val="left"/>
      </w:pPr>
      <w:r>
        <w:rPr>
          <w:rFonts w:ascii="Arial" w:hAnsi="Arial"/>
          <w:b/>
          <w:i w:val="0"/>
          <w:color w:val="004D00"/>
          <w:sz w:val="20"/>
        </w:rPr>
        <w:t xml:space="preserve">FILE THIS:  </w:t>
      </w:r>
      <w:r>
        <w:rPr>
          <w:rFonts w:ascii="Arial" w:hAnsi="Arial"/>
          <w:b w:val="0"/>
          <w:i/>
          <w:color w:val="222244"/>
          <w:sz w:val="21"/>
        </w:rPr>
        <w:t>A brief or memorandum asserting that under Loper Bright Enterprises v. Raimondo, 603 U.S. ___ (2024), the agency's action rests on an interpretation of [specific statute] that exceeds the authority Congress granted, and that the court must independently determine the statute's meaning rather than deferring to the agency.</w:t>
      </w:r>
    </w:p>
    <w:p>
      <w:pPr>
        <w:spacing w:before="200" w:after="60"/>
        <w:jc w:val="left"/>
      </w:pPr>
      <w:r>
        <w:rPr>
          <w:rFonts w:ascii="Arial" w:hAnsi="Arial"/>
          <w:b/>
          <w:i w:val="0"/>
          <w:color w:val="222244"/>
          <w:sz w:val="22"/>
        </w:rPr>
        <w:t>B. The Ultra Vires Challenge</w:t>
      </w:r>
    </w:p>
    <w:p>
      <w:pPr>
        <w:spacing w:before="0" w:after="120"/>
        <w:jc w:val="both"/>
      </w:pPr>
      <w:r>
        <w:rPr>
          <w:rFonts w:ascii="Arial" w:hAnsi="Arial"/>
          <w:b w:val="0"/>
          <w:i w:val="0"/>
          <w:color w:val="000000"/>
          <w:sz w:val="21"/>
        </w:rPr>
        <w:t>An agency action is ultra vires, meaning beyond its legal authority, when it exceeds the powers granted to the agency by Congress or by the Constitution. An ultra vires action is void regardless of the agency's good faith belief in its authority. City of Arlington v. FCC, 569 U.S. 290 (2013). Where an agency acts without any statutory authority or in direct contradiction of an unambiguous statutory command, the action must be set aside. Utility Air Regulatory Group v. EPA, 573 U.S. 302 (2014).</w:t>
      </w:r>
    </w:p>
    <w:p>
      <w:pPr>
        <w:spacing w:before="200" w:after="60"/>
        <w:jc w:val="left"/>
      </w:pPr>
      <w:r>
        <w:rPr>
          <w:rFonts w:ascii="Arial" w:hAnsi="Arial"/>
          <w:b/>
          <w:i w:val="0"/>
          <w:color w:val="222244"/>
          <w:sz w:val="22"/>
        </w:rPr>
        <w:t>C. The Due Process Challenge to Administrative Proceedings</w:t>
      </w:r>
    </w:p>
    <w:p>
      <w:pPr>
        <w:spacing w:before="0" w:after="120"/>
        <w:jc w:val="both"/>
      </w:pPr>
      <w:r>
        <w:rPr>
          <w:rFonts w:ascii="Arial" w:hAnsi="Arial"/>
          <w:b w:val="0"/>
          <w:i w:val="0"/>
          <w:color w:val="000000"/>
          <w:sz w:val="21"/>
        </w:rPr>
        <w:t>The Fifth Amendment's Due Process Clause applies to federal administrative proceedings. The Fourteenth Amendment applies to state administrative proceedings. Before any agency can deprive you of a protected interest, it must provide: notice of the proposed action and the grounds for it; an opportunity to respond and to present your side; and a decision by a neutral decisionmaker. Mathews v. Eldridge, 424 U.S. 319 (1976).</w:t>
      </w:r>
    </w:p>
    <w:p>
      <w:pPr>
        <w:spacing w:before="0" w:after="120"/>
        <w:jc w:val="both"/>
      </w:pPr>
      <w:r>
        <w:rPr>
          <w:rFonts w:ascii="Arial" w:hAnsi="Arial"/>
          <w:b w:val="0"/>
          <w:i w:val="0"/>
          <w:color w:val="000000"/>
          <w:sz w:val="21"/>
        </w:rPr>
        <w:t>Where an agency has failed to provide adequate notice, has denied you the opportunity to respond, or has decided your case through a biased or conflicted decisionmaker, a due process challenge is available and should be raised immediately.</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THREE</w:t>
      </w:r>
    </w:p>
    <w:p>
      <w:pPr>
        <w:spacing w:before="0" w:after="120"/>
        <w:jc w:val="center"/>
      </w:pPr>
      <w:r>
        <w:rPr>
          <w:rFonts w:ascii="Arial" w:hAnsi="Arial"/>
          <w:b/>
          <w:i w:val="0"/>
          <w:color w:val="222244"/>
          <w:sz w:val="22"/>
        </w:rPr>
        <w:t>READY-TO-USE MOTION FRAMEWORKS</w:t>
      </w:r>
    </w:p>
    <w:p>
      <w:pPr>
        <w:spacing w:before="0" w:after="160"/>
        <w:jc w:val="both"/>
      </w:pPr>
      <w:r>
        <w:rPr>
          <w:rFonts w:ascii="Arial" w:hAnsi="Arial"/>
          <w:b w:val="0"/>
          <w:i w:val="0"/>
          <w:color w:val="000000"/>
          <w:sz w:val="21"/>
        </w:rPr>
        <w:t>The following motion frameworks are templates. Adapt them to your specific proceeding by filling in the bracketed information. Every motion must be filed with the court and served on all other parties according to the applicable rules of procedure. If you are representing yourself, you are held to the same procedural rules as an attorney in most courts. File early. File completely. Keep copies of everything.</w:t>
      </w:r>
    </w:p>
    <w:p>
      <w:pPr>
        <w:spacing w:before="200" w:after="80"/>
        <w:jc w:val="center"/>
        <w:pBdr>
          <w:bottom w:val="single" w:sz="3" w:space="1" w:color="444466"/>
        </w:pBdr>
      </w:pPr>
      <w:r>
        <w:rPr>
          <w:rFonts w:ascii="Arial" w:hAnsi="Arial"/>
          <w:b/>
          <w:i w:val="0"/>
          <w:color w:val="1A1A2E"/>
          <w:sz w:val="22"/>
        </w:rPr>
        <w:t>MOTION FRAMEWORK ONE: CHALLENGE TO SUBJECT MATTER JURISDICTION</w:t>
      </w:r>
    </w:p>
    <w:p>
      <w:pPr>
        <w:spacing w:before="80" w:after="40"/>
        <w:jc w:val="center"/>
      </w:pPr>
      <w:r>
        <w:rPr>
          <w:rFonts w:ascii="Arial" w:hAnsi="Arial"/>
          <w:b/>
          <w:i w:val="0"/>
          <w:color w:val="1A1A2E"/>
          <w:sz w:val="20"/>
        </w:rPr>
        <w:t>IN THE [NAME OF COURT]</w:t>
      </w:r>
    </w:p>
    <w:p>
      <w:pPr>
        <w:spacing w:before="0" w:after="40"/>
        <w:jc w:val="center"/>
      </w:pPr>
      <w:r>
        <w:rPr>
          <w:rFonts w:ascii="Arial" w:hAnsi="Arial"/>
          <w:b w:val="0"/>
          <w:i/>
          <w:color w:val="555577"/>
          <w:sz w:val="20"/>
        </w:rPr>
        <w:t>[JURISDICTION AND CASE NUMBER]</w:t>
      </w:r>
    </w:p>
    <w:p>
      <w:pPr>
        <w:spacing w:before="80" w:after="120"/>
        <w:jc w:val="center"/>
      </w:pPr>
      <w:r>
        <w:rPr>
          <w:rFonts w:ascii="Arial" w:hAnsi="Arial"/>
          <w:b/>
          <w:i w:val="0"/>
          <w:color w:val="1A1A2E"/>
          <w:sz w:val="21"/>
        </w:rPr>
        <w:t>MOTION TO DISMISS FOR LACK OF SUBJECT MATTER JURISDICTION</w:t>
      </w:r>
    </w:p>
    <w:p>
      <w:pPr>
        <w:spacing w:before="0" w:after="100"/>
        <w:ind w:left="432" w:right="432"/>
        <w:jc w:val="both"/>
      </w:pPr>
      <w:r>
        <w:rPr>
          <w:rFonts w:ascii="Arial" w:hAnsi="Arial"/>
          <w:b w:val="0"/>
          <w:i/>
          <w:color w:val="222244"/>
          <w:sz w:val="21"/>
        </w:rPr>
        <w:t>NOW COMES [YOUR NAME], the Respondent/Defendant, appearing specially and not generally, and moves this Court to dismiss the above-captioned matter for lack of subject matter jurisdiction pursuant to [Fed. R. Civ. P. 12(b)(1) / O.C.G.A. section 9-11-12(b)(1)], and in support thereof states as follows:</w:t>
      </w:r>
    </w:p>
    <w:p>
      <w:pPr>
        <w:spacing w:before="120" w:after="40"/>
        <w:jc w:val="both"/>
      </w:pPr>
      <w:r>
        <w:rPr>
          <w:rFonts w:ascii="Arial" w:hAnsi="Arial"/>
          <w:b/>
          <w:i w:val="0"/>
          <w:color w:val="000000"/>
          <w:sz w:val="21"/>
        </w:rPr>
        <w:t>1. GROUNDS FOR CHALLENGE</w:t>
      </w:r>
    </w:p>
    <w:p>
      <w:pPr>
        <w:spacing w:before="0" w:after="100"/>
        <w:ind w:left="432" w:right="432"/>
        <w:jc w:val="both"/>
      </w:pPr>
      <w:r>
        <w:rPr>
          <w:rFonts w:ascii="Arial" w:hAnsi="Arial"/>
          <w:b w:val="0"/>
          <w:i/>
          <w:color w:val="222244"/>
          <w:sz w:val="21"/>
        </w:rPr>
        <w:t>This Court lacks subject matter jurisdiction over the instant matter because [state specific reason: e.g., no federal question is presented / the amount in controversy does not exceed the jurisdictional threshold / the agency lacks statutory authority to bring this action / the claim does not arise under any statute or constitutional provision within this court's jurisdiction].</w:t>
      </w:r>
    </w:p>
    <w:p>
      <w:pPr>
        <w:spacing w:before="120" w:after="40"/>
        <w:jc w:val="both"/>
      </w:pPr>
      <w:r>
        <w:rPr>
          <w:rFonts w:ascii="Arial" w:hAnsi="Arial"/>
          <w:b/>
          <w:i w:val="0"/>
          <w:color w:val="000000"/>
          <w:sz w:val="21"/>
        </w:rPr>
        <w:t>2. CONSTITUTIONAL FOUNDATION</w:t>
      </w:r>
    </w:p>
    <w:p>
      <w:pPr>
        <w:spacing w:before="0" w:after="100"/>
        <w:ind w:left="432" w:right="432"/>
        <w:jc w:val="both"/>
      </w:pPr>
      <w:r>
        <w:rPr>
          <w:rFonts w:ascii="Arial" w:hAnsi="Arial"/>
          <w:b w:val="0"/>
          <w:i/>
          <w:color w:val="222244"/>
          <w:sz w:val="21"/>
        </w:rPr>
        <w:t>The jurisdiction of this Court is limited by Article III of the United States Constitution to actual cases and controversies arising under the Constitution, laws, or treaties of the United States, or between citizens of different states. Steel Co. v. Citizens for a Better Environment, 523 U.S. 83 (1998). The burden of establishing subject matter jurisdiction rests with the party invoking federal jurisdiction. McNutt v. General Motors Acceptance Corp., 298 U.S. 178 (1936).</w:t>
      </w:r>
    </w:p>
    <w:p>
      <w:pPr>
        <w:spacing w:before="120" w:after="40"/>
        <w:jc w:val="both"/>
      </w:pPr>
      <w:r>
        <w:rPr>
          <w:rFonts w:ascii="Arial" w:hAnsi="Arial"/>
          <w:b/>
          <w:i w:val="0"/>
          <w:color w:val="000000"/>
          <w:sz w:val="21"/>
        </w:rPr>
        <w:t>3. SPIRITUAL AND NATURAL LAW STANDING</w:t>
      </w:r>
    </w:p>
    <w:p>
      <w:pPr>
        <w:spacing w:before="0" w:after="100"/>
        <w:ind w:left="432" w:right="432"/>
        <w:jc w:val="both"/>
      </w:pPr>
      <w:r>
        <w:rPr>
          <w:rFonts w:ascii="Arial" w:hAnsi="Arial"/>
          <w:b w:val="0"/>
          <w:i/>
          <w:color w:val="222244"/>
          <w:sz w:val="21"/>
        </w:rPr>
        <w:t>The undersigned living being further asserts, as a matter of supplemental record, that any proceeding brought against this living being without demonstrating specific, lawful subject matter jurisdiction constitutes a substantial burden on the sincerely held religious belief, documented across seven volumes of scholarly work, that the living being exists in pre-political sovereign dignity not subject to jurisdictional capture by any forum that cannot demonstrate its specific legal authority. This assertion is preserved pursuant to the Religious Freedom Restoration Act, 42 U.S.C. section 2000bb et seq., and is not a waiver of any other right or defense.</w:t>
      </w:r>
    </w:p>
    <w:p>
      <w:pPr>
        <w:spacing w:before="120" w:after="40"/>
        <w:jc w:val="both"/>
      </w:pPr>
      <w:r>
        <w:rPr>
          <w:rFonts w:ascii="Arial" w:hAnsi="Arial"/>
          <w:b/>
          <w:i w:val="0"/>
          <w:color w:val="000000"/>
          <w:sz w:val="21"/>
        </w:rPr>
        <w:t>4. RELIEF REQUESTED</w:t>
      </w:r>
    </w:p>
    <w:p>
      <w:pPr>
        <w:spacing w:before="0" w:after="100"/>
        <w:ind w:left="432" w:right="432"/>
        <w:jc w:val="both"/>
      </w:pPr>
      <w:r>
        <w:rPr>
          <w:rFonts w:ascii="Arial" w:hAnsi="Arial"/>
          <w:b w:val="0"/>
          <w:i/>
          <w:color w:val="222244"/>
          <w:sz w:val="21"/>
        </w:rPr>
        <w:t>WHEREFORE, [YOUR NAME] respectfully requests that this Court dismiss the above-captioned matter for lack of subject matter jurisdiction, with prejudice, and award such other relief as this Court deems just and proper.</w:t>
      </w:r>
    </w:p>
    <w:p>
      <w:pPr>
        <w:spacing w:before="160" w:after="40"/>
        <w:jc w:val="left"/>
      </w:pPr>
      <w:r>
        <w:rPr>
          <w:rFonts w:ascii="Arial" w:hAnsi="Arial"/>
          <w:b w:val="0"/>
          <w:i w:val="0"/>
          <w:color w:val="000000"/>
          <w:sz w:val="21"/>
        </w:rPr>
        <w:t>Respectfully submitted,</w:t>
      </w:r>
    </w:p>
    <w:p>
      <w:pPr>
        <w:spacing w:before="160" w:after="40"/>
        <w:jc w:val="left"/>
      </w:pPr>
      <w:r>
        <w:rPr>
          <w:rFonts w:ascii="Arial" w:hAnsi="Arial"/>
          <w:b w:val="0"/>
          <w:i w:val="0"/>
          <w:color w:val="000000"/>
          <w:sz w:val="21"/>
        </w:rPr>
        <w:t>By: _________________________________</w:t>
      </w:r>
    </w:p>
    <w:p>
      <w:pPr>
        <w:spacing w:before="40" w:after="40"/>
        <w:jc w:val="left"/>
      </w:pPr>
      <w:r>
        <w:rPr>
          <w:rFonts w:ascii="Arial" w:hAnsi="Arial"/>
          <w:b w:val="0"/>
          <w:i w:val="0"/>
          <w:color w:val="000000"/>
          <w:sz w:val="21"/>
        </w:rPr>
        <w:t>[YOUR NAME], Living Being, Appearing Pro Se</w:t>
      </w:r>
    </w:p>
    <w:p>
      <w:pPr>
        <w:spacing w:before="40" w:after="40"/>
        <w:jc w:val="left"/>
      </w:pPr>
      <w:r>
        <w:rPr>
          <w:rFonts w:ascii="Arial" w:hAnsi="Arial"/>
          <w:b w:val="0"/>
          <w:i w:val="0"/>
          <w:color w:val="000000"/>
          <w:sz w:val="21"/>
        </w:rPr>
        <w:t>Date: _________________________________</w:t>
      </w:r>
    </w:p>
    <w:p>
      <w:pPr>
        <w:spacing w:before="120" w:after="120"/>
        <w:jc w:val="center"/>
        <w:pBdr>
          <w:bottom w:val="single" w:sz="2" w:space="1" w:color="888888"/>
        </w:pBdr>
      </w:pPr>
    </w:p>
    <w:p>
      <w:pPr>
        <w:spacing w:before="200" w:after="80"/>
        <w:jc w:val="center"/>
        <w:pBdr>
          <w:bottom w:val="single" w:sz="3" w:space="1" w:color="444466"/>
        </w:pBdr>
      </w:pPr>
      <w:r>
        <w:rPr>
          <w:rFonts w:ascii="Arial" w:hAnsi="Arial"/>
          <w:b/>
          <w:i w:val="0"/>
          <w:color w:val="1A1A2E"/>
          <w:sz w:val="22"/>
        </w:rPr>
        <w:t>MOTION FRAMEWORK TWO: SELECTIVE PROSECUTION CHALLENGE</w:t>
      </w:r>
    </w:p>
    <w:p>
      <w:pPr>
        <w:spacing w:before="80" w:after="40"/>
        <w:jc w:val="center"/>
      </w:pPr>
      <w:r>
        <w:rPr>
          <w:rFonts w:ascii="Arial" w:hAnsi="Arial"/>
          <w:b/>
          <w:i w:val="0"/>
          <w:color w:val="1A1A2E"/>
          <w:sz w:val="20"/>
        </w:rPr>
        <w:t>IN THE [NAME OF COURT]</w:t>
      </w:r>
    </w:p>
    <w:p>
      <w:pPr>
        <w:spacing w:before="0" w:after="40"/>
        <w:jc w:val="center"/>
      </w:pPr>
      <w:r>
        <w:rPr>
          <w:rFonts w:ascii="Arial" w:hAnsi="Arial"/>
          <w:b w:val="0"/>
          <w:i/>
          <w:color w:val="555577"/>
          <w:sz w:val="20"/>
        </w:rPr>
        <w:t>[JURISDICTION AND CASE NUMBER]</w:t>
      </w:r>
    </w:p>
    <w:p>
      <w:pPr>
        <w:spacing w:before="80" w:after="120"/>
        <w:jc w:val="center"/>
      </w:pPr>
      <w:r>
        <w:rPr>
          <w:rFonts w:ascii="Arial" w:hAnsi="Arial"/>
          <w:b/>
          <w:i w:val="0"/>
          <w:color w:val="1A1A2E"/>
          <w:sz w:val="21"/>
        </w:rPr>
        <w:t>MOTION TO DISMISS FOR SELECTIVE PROSECUTION AND FOR DISCOVERY</w:t>
      </w:r>
    </w:p>
    <w:p>
      <w:pPr>
        <w:spacing w:before="0" w:after="100"/>
        <w:ind w:left="432" w:right="432"/>
        <w:jc w:val="both"/>
      </w:pPr>
      <w:r>
        <w:rPr>
          <w:rFonts w:ascii="Arial" w:hAnsi="Arial"/>
          <w:b w:val="0"/>
          <w:i/>
          <w:color w:val="222244"/>
          <w:sz w:val="21"/>
        </w:rPr>
        <w:t>NOW COMES [YOUR NAME], the Defendant, and moves this Court to dismiss the above-captioned criminal matter on the grounds of selective prosecution in violation of the Equal Protection Clause of the Fourteenth Amendment to the United States Constitution, and to order discovery of the government's charging practices, and in support thereof states as follows:</w:t>
      </w:r>
    </w:p>
    <w:p>
      <w:pPr>
        <w:spacing w:before="120" w:after="40"/>
        <w:jc w:val="both"/>
      </w:pPr>
      <w:r>
        <w:rPr>
          <w:rFonts w:ascii="Arial" w:hAnsi="Arial"/>
          <w:b/>
          <w:i w:val="0"/>
          <w:color w:val="000000"/>
          <w:sz w:val="21"/>
        </w:rPr>
        <w:t>1. THE LEGAL STANDARD</w:t>
      </w:r>
    </w:p>
    <w:p>
      <w:pPr>
        <w:spacing w:before="0" w:after="100"/>
        <w:ind w:left="432" w:right="432"/>
        <w:jc w:val="both"/>
      </w:pPr>
      <w:r>
        <w:rPr>
          <w:rFonts w:ascii="Arial" w:hAnsi="Arial"/>
          <w:b w:val="0"/>
          <w:i/>
          <w:color w:val="222244"/>
          <w:sz w:val="21"/>
        </w:rPr>
        <w:t>The Equal Protection Clause prohibits a prosecutor from exercising charging discretion in a racially discriminatory manner. United States v. Armstrong, 517 U.S. 456 (1996). To establish selective prosecution, a defendant must show that the prosecution had a discriminatory effect and that it was motivated by a discriminatory purpose. To obtain discovery, a defendant must present credible evidence of both elements.</w:t>
      </w:r>
    </w:p>
    <w:p>
      <w:pPr>
        <w:spacing w:before="120" w:after="40"/>
        <w:jc w:val="both"/>
      </w:pPr>
      <w:r>
        <w:rPr>
          <w:rFonts w:ascii="Arial" w:hAnsi="Arial"/>
          <w:b/>
          <w:i w:val="0"/>
          <w:color w:val="000000"/>
          <w:sz w:val="21"/>
        </w:rPr>
        <w:t>2. DISCRIMINATORY EFFECT</w:t>
      </w:r>
    </w:p>
    <w:p>
      <w:pPr>
        <w:spacing w:before="0" w:after="100"/>
        <w:ind w:left="432" w:right="432"/>
        <w:jc w:val="both"/>
      </w:pPr>
      <w:r>
        <w:rPr>
          <w:rFonts w:ascii="Arial" w:hAnsi="Arial"/>
          <w:b w:val="0"/>
          <w:i/>
          <w:color w:val="222244"/>
          <w:sz w:val="21"/>
        </w:rPr>
        <w:t>Statistical evidence of racially disparate prosecution rates in [jurisdiction] demonstrates discriminatory effect. [Insert available statistics: e.g., Black defendants represent X% of prosecutions for this offense in this jurisdiction while representing Y% of the population. Reference Department of Justice data, local court records, or academic studies documenting the disparity.] The documented pattern of racially disparate prosecution in this jurisdiction constitutes the systemic evidentiary background against which this individual prosecution must be evaluated.</w:t>
      </w:r>
    </w:p>
    <w:p>
      <w:pPr>
        <w:spacing w:before="120" w:after="40"/>
        <w:jc w:val="both"/>
      </w:pPr>
      <w:r>
        <w:rPr>
          <w:rFonts w:ascii="Arial" w:hAnsi="Arial"/>
          <w:b/>
          <w:i w:val="0"/>
          <w:color w:val="000000"/>
          <w:sz w:val="21"/>
        </w:rPr>
        <w:t>3. DISCRIMINATORY PURPOSE</w:t>
      </w:r>
    </w:p>
    <w:p>
      <w:pPr>
        <w:spacing w:before="0" w:after="100"/>
        <w:ind w:left="432" w:right="432"/>
        <w:jc w:val="both"/>
      </w:pPr>
      <w:r>
        <w:rPr>
          <w:rFonts w:ascii="Arial" w:hAnsi="Arial"/>
          <w:b w:val="0"/>
          <w:i/>
          <w:color w:val="222244"/>
          <w:sz w:val="21"/>
        </w:rPr>
        <w:t>The circumstances of this prosecution suggest discriminatory purpose in that [describe specific facts: e.g., similarly situated individuals of a different race engaged in comparable conduct were not prosecuted / the conduct for which the defendant is charged is routinely overlooked when engaged in by non-Black individuals in this jurisdiction / the prosecution follows a documented pattern of targeting Black individuals for enforcement of this statute].</w:t>
      </w:r>
    </w:p>
    <w:p>
      <w:pPr>
        <w:spacing w:before="120" w:after="40"/>
        <w:jc w:val="both"/>
      </w:pPr>
      <w:r>
        <w:rPr>
          <w:rFonts w:ascii="Arial" w:hAnsi="Arial"/>
          <w:b/>
          <w:i w:val="0"/>
          <w:color w:val="000000"/>
          <w:sz w:val="21"/>
        </w:rPr>
        <w:t>4. DISCOVERY REQUESTED</w:t>
      </w:r>
    </w:p>
    <w:p>
      <w:pPr>
        <w:spacing w:before="0" w:after="100"/>
        <w:ind w:left="432" w:right="432"/>
        <w:jc w:val="both"/>
      </w:pPr>
      <w:r>
        <w:rPr>
          <w:rFonts w:ascii="Arial" w:hAnsi="Arial"/>
          <w:b w:val="0"/>
          <w:i/>
          <w:color w:val="222244"/>
          <w:sz w:val="21"/>
        </w:rPr>
        <w:t>Defendant requests discovery of: (a) all cases in which the government considered prosecution for the same offense over the past three years; (b) the race of each individual considered for prosecution; (c) the charging decisions made in each case and the reasons therefor.</w:t>
      </w:r>
    </w:p>
    <w:p>
      <w:pPr>
        <w:spacing w:before="120" w:after="40"/>
        <w:jc w:val="both"/>
      </w:pPr>
      <w:r>
        <w:rPr>
          <w:rFonts w:ascii="Arial" w:hAnsi="Arial"/>
          <w:b/>
          <w:i w:val="0"/>
          <w:color w:val="000000"/>
          <w:sz w:val="21"/>
        </w:rPr>
        <w:t>5. RELIEF REQUESTED</w:t>
      </w:r>
    </w:p>
    <w:p>
      <w:pPr>
        <w:spacing w:before="0" w:after="100"/>
        <w:ind w:left="432" w:right="432"/>
        <w:jc w:val="both"/>
      </w:pPr>
      <w:r>
        <w:rPr>
          <w:rFonts w:ascii="Arial" w:hAnsi="Arial"/>
          <w:b w:val="0"/>
          <w:i/>
          <w:color w:val="222244"/>
          <w:sz w:val="21"/>
        </w:rPr>
        <w:t>WHEREFORE, Defendant respectfully requests that this Court order discovery as set forth above, and upon completion of discovery, dismiss the indictment/information for selective prosecution in violation of the Equal Protection Clause.</w:t>
      </w:r>
    </w:p>
    <w:p>
      <w:pPr>
        <w:spacing w:before="160" w:after="40"/>
        <w:jc w:val="left"/>
      </w:pPr>
      <w:r>
        <w:rPr>
          <w:rFonts w:ascii="Arial" w:hAnsi="Arial"/>
          <w:b w:val="0"/>
          <w:i w:val="0"/>
          <w:color w:val="000000"/>
          <w:sz w:val="21"/>
        </w:rPr>
        <w:t>Respectfully submitted,</w:t>
      </w:r>
    </w:p>
    <w:p>
      <w:pPr>
        <w:spacing w:before="160" w:after="40"/>
        <w:jc w:val="left"/>
      </w:pPr>
      <w:r>
        <w:rPr>
          <w:rFonts w:ascii="Arial" w:hAnsi="Arial"/>
          <w:b w:val="0"/>
          <w:i w:val="0"/>
          <w:color w:val="000000"/>
          <w:sz w:val="21"/>
        </w:rPr>
        <w:t>By: _________________________________</w:t>
      </w:r>
    </w:p>
    <w:p>
      <w:pPr>
        <w:spacing w:before="40" w:after="40"/>
        <w:jc w:val="left"/>
      </w:pPr>
      <w:r>
        <w:rPr>
          <w:rFonts w:ascii="Arial" w:hAnsi="Arial"/>
          <w:b w:val="0"/>
          <w:i w:val="0"/>
          <w:color w:val="000000"/>
          <w:sz w:val="21"/>
        </w:rPr>
        <w:t>[YOUR NAME], Defendant, Appearing Pro Se</w:t>
      </w:r>
    </w:p>
    <w:p>
      <w:pPr>
        <w:spacing w:before="40" w:after="40"/>
        <w:jc w:val="left"/>
      </w:pPr>
      <w:r>
        <w:rPr>
          <w:rFonts w:ascii="Arial" w:hAnsi="Arial"/>
          <w:b w:val="0"/>
          <w:i w:val="0"/>
          <w:color w:val="000000"/>
          <w:sz w:val="21"/>
        </w:rPr>
        <w:t>Date: _________________________________</w:t>
      </w:r>
    </w:p>
    <w:p>
      <w:pPr>
        <w:spacing w:before="120" w:after="120"/>
        <w:jc w:val="center"/>
        <w:pBdr>
          <w:bottom w:val="single" w:sz="2" w:space="1" w:color="888888"/>
        </w:pBdr>
      </w:pPr>
    </w:p>
    <w:p>
      <w:pPr>
        <w:spacing w:before="200" w:after="80"/>
        <w:jc w:val="center"/>
        <w:pBdr>
          <w:bottom w:val="single" w:sz="3" w:space="1" w:color="444466"/>
        </w:pBdr>
      </w:pPr>
      <w:r>
        <w:rPr>
          <w:rFonts w:ascii="Arial" w:hAnsi="Arial"/>
          <w:b/>
          <w:i w:val="0"/>
          <w:color w:val="1A1A2E"/>
          <w:sz w:val="22"/>
        </w:rPr>
        <w:t>MOTION FRAMEWORK THREE: RFRA CHALLENGE IN ANY PROCEEDING</w:t>
      </w:r>
    </w:p>
    <w:p>
      <w:pPr>
        <w:spacing w:before="80" w:after="40"/>
        <w:jc w:val="center"/>
      </w:pPr>
      <w:r>
        <w:rPr>
          <w:rFonts w:ascii="Arial" w:hAnsi="Arial"/>
          <w:b/>
          <w:i w:val="0"/>
          <w:color w:val="1A1A2E"/>
          <w:sz w:val="20"/>
        </w:rPr>
        <w:t>IN THE [NAME OF COURT]</w:t>
      </w:r>
    </w:p>
    <w:p>
      <w:pPr>
        <w:spacing w:before="0" w:after="40"/>
        <w:jc w:val="center"/>
      </w:pPr>
      <w:r>
        <w:rPr>
          <w:rFonts w:ascii="Arial" w:hAnsi="Arial"/>
          <w:b w:val="0"/>
          <w:i/>
          <w:color w:val="555577"/>
          <w:sz w:val="20"/>
        </w:rPr>
        <w:t>[JURISDICTION AND CASE NUMBER]</w:t>
      </w:r>
    </w:p>
    <w:p>
      <w:pPr>
        <w:spacing w:before="80" w:after="120"/>
        <w:jc w:val="center"/>
      </w:pPr>
      <w:r>
        <w:rPr>
          <w:rFonts w:ascii="Arial" w:hAnsi="Arial"/>
          <w:b/>
          <w:i w:val="0"/>
          <w:color w:val="1A1A2E"/>
          <w:sz w:val="21"/>
        </w:rPr>
        <w:t>MOTION TO DISMISS / FOR RELIEF UNDER THE RELIGIOUS FREEDOM RESTORATION ACT</w:t>
      </w:r>
    </w:p>
    <w:p>
      <w:pPr>
        <w:spacing w:before="0" w:after="100"/>
        <w:ind w:left="432" w:right="432"/>
        <w:jc w:val="both"/>
      </w:pPr>
      <w:r>
        <w:rPr>
          <w:rFonts w:ascii="Arial" w:hAnsi="Arial"/>
          <w:b w:val="0"/>
          <w:i/>
          <w:color w:val="222244"/>
          <w:sz w:val="21"/>
        </w:rPr>
        <w:t>NOW COMES [YOUR NAME], and moves this Court for relief pursuant to the Religious Freedom Restoration Act, 42 U.S.C. section 2000bb et seq., on the grounds that the government's action in this matter substantially burdens the sincerely held religious beliefs of the undersigned living being, and in support thereof states as follows:</w:t>
      </w:r>
    </w:p>
    <w:p>
      <w:pPr>
        <w:spacing w:before="120" w:after="40"/>
        <w:jc w:val="both"/>
      </w:pPr>
      <w:r>
        <w:rPr>
          <w:rFonts w:ascii="Arial" w:hAnsi="Arial"/>
          <w:b/>
          <w:i w:val="0"/>
          <w:color w:val="000000"/>
          <w:sz w:val="21"/>
        </w:rPr>
        <w:t>1. SINCERITY OF BELIEF</w:t>
      </w:r>
    </w:p>
    <w:p>
      <w:pPr>
        <w:spacing w:before="0" w:after="100"/>
        <w:ind w:left="432" w:right="432"/>
        <w:jc w:val="both"/>
      </w:pPr>
      <w:r>
        <w:rPr>
          <w:rFonts w:ascii="Arial" w:hAnsi="Arial"/>
          <w:b w:val="0"/>
          <w:i/>
          <w:color w:val="222244"/>
          <w:sz w:val="21"/>
        </w:rPr>
        <w:t>The undersigned holds a sincerely held religious and spiritual belief, documented across seven volumes of theological, philosophical, and scientific scholarship, that the living being exists as a pre-political, energetic expression of Divine Creation; that the being's physical liberty, economic activity, and ancestral identity are sacred expressions of that divine nature; and that any government action that treats the living being as a commercial unit, a legal fiction, or a managed liability without acknowledging this sacred nature constitutes an interference with the free exercise of religion. This belief is sincerely held as defined in United States v. Seeger, 380 U.S. 163 (1965), and Frazee v. Illinois, 489 U.S. 829 (1989). Courts do not evaluate the truth of religious belief, only its sincerity. Thomas v. Review Board, 450 U.S. 707 (1981).</w:t>
      </w:r>
    </w:p>
    <w:p>
      <w:pPr>
        <w:spacing w:before="120" w:after="40"/>
        <w:jc w:val="both"/>
      </w:pPr>
      <w:r>
        <w:rPr>
          <w:rFonts w:ascii="Arial" w:hAnsi="Arial"/>
          <w:b/>
          <w:i w:val="0"/>
          <w:color w:val="000000"/>
          <w:sz w:val="21"/>
        </w:rPr>
        <w:t>2. SUBSTANTIAL BURDEN</w:t>
      </w:r>
    </w:p>
    <w:p>
      <w:pPr>
        <w:spacing w:before="0" w:after="100"/>
        <w:ind w:left="432" w:right="432"/>
        <w:jc w:val="both"/>
      </w:pPr>
      <w:r>
        <w:rPr>
          <w:rFonts w:ascii="Arial" w:hAnsi="Arial"/>
          <w:b w:val="0"/>
          <w:i/>
          <w:color w:val="222244"/>
          <w:sz w:val="21"/>
        </w:rPr>
        <w:t>The government's action in [describe specific action: prosecuting the undersigned for conduct that constitutes religious practice / imposing a financial penalty on economic activity rooted in sacred creative work / detaining the living being based on racial profile that violates the being's divine sovereignty] constitutes a substantial burden on the exercise of this sincerely held belief. Burwell v. Hobby Lobby Stores, Inc., 573 U.S. 682 (2014).</w:t>
      </w:r>
    </w:p>
    <w:p>
      <w:pPr>
        <w:spacing w:before="120" w:after="40"/>
        <w:jc w:val="both"/>
      </w:pPr>
      <w:r>
        <w:rPr>
          <w:rFonts w:ascii="Arial" w:hAnsi="Arial"/>
          <w:b/>
          <w:i w:val="0"/>
          <w:color w:val="000000"/>
          <w:sz w:val="21"/>
        </w:rPr>
        <w:t>3. THE GOVERNMENT'S BURDEN</w:t>
      </w:r>
    </w:p>
    <w:p>
      <w:pPr>
        <w:spacing w:before="0" w:after="100"/>
        <w:ind w:left="432" w:right="432"/>
        <w:jc w:val="both"/>
      </w:pPr>
      <w:r>
        <w:rPr>
          <w:rFonts w:ascii="Arial" w:hAnsi="Arial"/>
          <w:b w:val="0"/>
          <w:i/>
          <w:color w:val="222244"/>
          <w:sz w:val="21"/>
        </w:rPr>
        <w:t>Under RFRA, the government must demonstrate (a) a compelling governmental interest and (b) that it has chosen the least restrictive means of furthering that interest. 42 U.S.C. section 2000bb-1. The government cannot meet this burden by assertion alone. Gonzales v. O Centro Espirita Beneficente Uniao do Vegetal, 546 U.S. 418 (2006). The government must demonstrate compelling interest in this specific case, not merely in the abstract. It must further demonstrate that the action taken is the least restrictive means available. The undersigned asserts that the government cannot meet either element of this burden.</w:t>
      </w:r>
    </w:p>
    <w:p>
      <w:pPr>
        <w:spacing w:before="120" w:after="40"/>
        <w:jc w:val="both"/>
      </w:pPr>
      <w:r>
        <w:rPr>
          <w:rFonts w:ascii="Arial" w:hAnsi="Arial"/>
          <w:b/>
          <w:i w:val="0"/>
          <w:color w:val="000000"/>
          <w:sz w:val="21"/>
        </w:rPr>
        <w:t>4. RELIEF REQUESTED</w:t>
      </w:r>
    </w:p>
    <w:p>
      <w:pPr>
        <w:spacing w:before="0" w:after="100"/>
        <w:ind w:left="432" w:right="432"/>
        <w:jc w:val="both"/>
      </w:pPr>
      <w:r>
        <w:rPr>
          <w:rFonts w:ascii="Arial" w:hAnsi="Arial"/>
          <w:b w:val="0"/>
          <w:i/>
          <w:color w:val="222244"/>
          <w:sz w:val="21"/>
        </w:rPr>
        <w:t>WHEREFORE, [YOUR NAME] respectfully requests that this Court dismiss the above-captioned matter, or in the alternative, order the government to demonstrate by competent evidence its compelling interest and least restrictive means justification for the burden imposed on the undersigned's sincerely held religious belief.</w:t>
      </w:r>
    </w:p>
    <w:p>
      <w:pPr>
        <w:spacing w:before="160" w:after="40"/>
        <w:jc w:val="left"/>
      </w:pPr>
      <w:r>
        <w:rPr>
          <w:rFonts w:ascii="Arial" w:hAnsi="Arial"/>
          <w:b w:val="0"/>
          <w:i w:val="0"/>
          <w:color w:val="000000"/>
          <w:sz w:val="21"/>
        </w:rPr>
        <w:t>Respectfully submitted,</w:t>
      </w:r>
    </w:p>
    <w:p>
      <w:pPr>
        <w:spacing w:before="160" w:after="40"/>
        <w:jc w:val="left"/>
      </w:pPr>
      <w:r>
        <w:rPr>
          <w:rFonts w:ascii="Arial" w:hAnsi="Arial"/>
          <w:b w:val="0"/>
          <w:i w:val="0"/>
          <w:color w:val="000000"/>
          <w:sz w:val="21"/>
        </w:rPr>
        <w:t>By: _________________________________</w:t>
      </w:r>
    </w:p>
    <w:p>
      <w:pPr>
        <w:spacing w:before="40" w:after="40"/>
        <w:jc w:val="left"/>
      </w:pPr>
      <w:r>
        <w:rPr>
          <w:rFonts w:ascii="Arial" w:hAnsi="Arial"/>
          <w:b w:val="0"/>
          <w:i w:val="0"/>
          <w:color w:val="000000"/>
          <w:sz w:val="21"/>
        </w:rPr>
        <w:t>[YOUR NAME], Living Being, Appearing Pro Se</w:t>
      </w:r>
    </w:p>
    <w:p>
      <w:pPr>
        <w:spacing w:before="40" w:after="40"/>
        <w:jc w:val="left"/>
      </w:pPr>
      <w:r>
        <w:rPr>
          <w:rFonts w:ascii="Arial" w:hAnsi="Arial"/>
          <w:b w:val="0"/>
          <w:i w:val="0"/>
          <w:color w:val="000000"/>
          <w:sz w:val="21"/>
        </w:rPr>
        <w:t>Date: _________________________________</w:t>
      </w:r>
    </w:p>
    <w:p>
      <w:pPr>
        <w:spacing w:before="120" w:after="120"/>
        <w:jc w:val="center"/>
        <w:pBdr>
          <w:bottom w:val="single" w:sz="2" w:space="1" w:color="888888"/>
        </w:pBdr>
      </w:pPr>
    </w:p>
    <w:p>
      <w:pPr>
        <w:spacing w:before="200" w:after="80"/>
        <w:jc w:val="center"/>
        <w:pBdr>
          <w:bottom w:val="single" w:sz="3" w:space="1" w:color="444466"/>
        </w:pBdr>
      </w:pPr>
      <w:r>
        <w:rPr>
          <w:rFonts w:ascii="Arial" w:hAnsi="Arial"/>
          <w:b/>
          <w:i w:val="0"/>
          <w:color w:val="1A1A2E"/>
          <w:sz w:val="22"/>
        </w:rPr>
        <w:t>MOTION FRAMEWORK FOUR: LOPER BRIGHT AGENCY AUTHORITY CHALLENGE</w:t>
      </w:r>
    </w:p>
    <w:p>
      <w:pPr>
        <w:spacing w:before="80" w:after="40"/>
        <w:jc w:val="center"/>
      </w:pPr>
      <w:r>
        <w:rPr>
          <w:rFonts w:ascii="Arial" w:hAnsi="Arial"/>
          <w:b/>
          <w:i w:val="0"/>
          <w:color w:val="1A1A2E"/>
          <w:sz w:val="20"/>
        </w:rPr>
        <w:t>IN THE [NAME OF COURT]</w:t>
      </w:r>
    </w:p>
    <w:p>
      <w:pPr>
        <w:spacing w:before="0" w:after="40"/>
        <w:jc w:val="center"/>
      </w:pPr>
      <w:r>
        <w:rPr>
          <w:rFonts w:ascii="Arial" w:hAnsi="Arial"/>
          <w:b w:val="0"/>
          <w:i/>
          <w:color w:val="555577"/>
          <w:sz w:val="20"/>
        </w:rPr>
        <w:t>[JURISDICTION AND CASE NUMBER]</w:t>
      </w:r>
    </w:p>
    <w:p>
      <w:pPr>
        <w:spacing w:before="80" w:after="120"/>
        <w:jc w:val="center"/>
      </w:pPr>
      <w:r>
        <w:rPr>
          <w:rFonts w:ascii="Arial" w:hAnsi="Arial"/>
          <w:b/>
          <w:i w:val="0"/>
          <w:color w:val="1A1A2E"/>
          <w:sz w:val="21"/>
        </w:rPr>
        <w:t>MOTION TO SET ASIDE AGENCY ACTION FOR LACK OF STATUTORY AUTHORITY</w:t>
      </w:r>
    </w:p>
    <w:p>
      <w:pPr>
        <w:spacing w:before="0" w:after="100"/>
        <w:ind w:left="432" w:right="432"/>
        <w:jc w:val="both"/>
      </w:pPr>
      <w:r>
        <w:rPr>
          <w:rFonts w:ascii="Arial" w:hAnsi="Arial"/>
          <w:b w:val="0"/>
          <w:i/>
          <w:color w:val="222244"/>
          <w:sz w:val="21"/>
        </w:rPr>
        <w:t>NOW COMES [YOUR NAME], and moves this Court to set aside the agency action at issue in this proceeding on the grounds that the agency lacks statutory authority for the action taken, as required by Loper Bright Enterprises v. Raimondo, 603 U.S. ___ (2024), and in support thereof states as follows:</w:t>
      </w:r>
    </w:p>
    <w:p>
      <w:pPr>
        <w:spacing w:before="120" w:after="40"/>
        <w:jc w:val="both"/>
      </w:pPr>
      <w:r>
        <w:rPr>
          <w:rFonts w:ascii="Arial" w:hAnsi="Arial"/>
          <w:b/>
          <w:i w:val="0"/>
          <w:color w:val="000000"/>
          <w:sz w:val="21"/>
        </w:rPr>
        <w:t>1. THE LOPER BRIGHT STANDARD</w:t>
      </w:r>
    </w:p>
    <w:p>
      <w:pPr>
        <w:spacing w:before="0" w:after="100"/>
        <w:ind w:left="432" w:right="432"/>
        <w:jc w:val="both"/>
      </w:pPr>
      <w:r>
        <w:rPr>
          <w:rFonts w:ascii="Arial" w:hAnsi="Arial"/>
          <w:b w:val="0"/>
          <w:i/>
          <w:color w:val="222244"/>
          <w:sz w:val="21"/>
        </w:rPr>
        <w:t>In Loper Bright Enterprises v. Raimondo, 603 U.S. ___ (2024), the Supreme Court overruled Chevron U.S.A., Inc. v. Natural Resources Defense Council, 467 U.S. 837 (1984), and held that courts must exercise independent judgment in determining the meaning of statutes and may not defer to an agency's interpretation of an ambiguous statute. It is the responsibility of courts, not agencies, to say what the law is.</w:t>
      </w:r>
    </w:p>
    <w:p>
      <w:pPr>
        <w:spacing w:before="120" w:after="40"/>
        <w:jc w:val="both"/>
      </w:pPr>
      <w:r>
        <w:rPr>
          <w:rFonts w:ascii="Arial" w:hAnsi="Arial"/>
          <w:b/>
          <w:i w:val="0"/>
          <w:color w:val="000000"/>
          <w:sz w:val="21"/>
        </w:rPr>
        <w:t>2. THE AGENCY ACTION AT ISSUE</w:t>
      </w:r>
    </w:p>
    <w:p>
      <w:pPr>
        <w:spacing w:before="0" w:after="100"/>
        <w:ind w:left="432" w:right="432"/>
        <w:jc w:val="both"/>
      </w:pPr>
      <w:r>
        <w:rPr>
          <w:rFonts w:ascii="Arial" w:hAnsi="Arial"/>
          <w:b w:val="0"/>
          <w:i/>
          <w:color w:val="222244"/>
          <w:sz w:val="21"/>
        </w:rPr>
        <w:t>The [agency name] has taken the following action against the undersigned: [describe action]. The agency claims authority for this action under [specific statute and section]. However, the agency's interpretation of this statute [is not supported by its plain text / goes beyond what Congress unambiguously authorized / rests on a reading of an ambiguous provision that this Court must now independently evaluate].</w:t>
      </w:r>
    </w:p>
    <w:p>
      <w:pPr>
        <w:spacing w:before="120" w:after="40"/>
        <w:jc w:val="both"/>
      </w:pPr>
      <w:r>
        <w:rPr>
          <w:rFonts w:ascii="Arial" w:hAnsi="Arial"/>
          <w:b/>
          <w:i w:val="0"/>
          <w:color w:val="000000"/>
          <w:sz w:val="21"/>
        </w:rPr>
        <w:t>3. THE CORRECT STATUTORY INTERPRETATION</w:t>
      </w:r>
    </w:p>
    <w:p>
      <w:pPr>
        <w:spacing w:before="0" w:after="100"/>
        <w:ind w:left="432" w:right="432"/>
        <w:jc w:val="both"/>
      </w:pPr>
      <w:r>
        <w:rPr>
          <w:rFonts w:ascii="Arial" w:hAnsi="Arial"/>
          <w:b w:val="0"/>
          <w:i/>
          <w:color w:val="222244"/>
          <w:sz w:val="21"/>
        </w:rPr>
        <w:t>Under independent judicial review, the plain text of [statute] does not authorize [describe action]. The statutory language [quote or describe relevant text] is most naturally read to [describe correct interpretation]. This reading is supported by [the statute's structure / its legislative history / the canon against surplusage / the major questions doctrine]. The agency's action therefore exceeds its statutory authority and must be set aside under the Administrative Procedure Act, 5 U.S.C. section 706(2)(C).</w:t>
      </w:r>
    </w:p>
    <w:p>
      <w:pPr>
        <w:spacing w:before="120" w:after="40"/>
        <w:jc w:val="both"/>
      </w:pPr>
      <w:r>
        <w:rPr>
          <w:rFonts w:ascii="Arial" w:hAnsi="Arial"/>
          <w:b/>
          <w:i w:val="0"/>
          <w:color w:val="000000"/>
          <w:sz w:val="21"/>
        </w:rPr>
        <w:t>4. RELIEF REQUESTED</w:t>
      </w:r>
    </w:p>
    <w:p>
      <w:pPr>
        <w:spacing w:before="0" w:after="100"/>
        <w:ind w:left="432" w:right="432"/>
        <w:jc w:val="both"/>
      </w:pPr>
      <w:r>
        <w:rPr>
          <w:rFonts w:ascii="Arial" w:hAnsi="Arial"/>
          <w:b w:val="0"/>
          <w:i/>
          <w:color w:val="222244"/>
          <w:sz w:val="21"/>
        </w:rPr>
        <w:t>WHEREFORE, [YOUR NAME] respectfully requests that this Court set aside the agency action at issue as exceeding the agency's statutory authority, and award such other relief as this Court deems just and proper.</w:t>
      </w:r>
    </w:p>
    <w:p>
      <w:pPr>
        <w:spacing w:before="160" w:after="40"/>
        <w:jc w:val="left"/>
      </w:pPr>
      <w:r>
        <w:rPr>
          <w:rFonts w:ascii="Arial" w:hAnsi="Arial"/>
          <w:b w:val="0"/>
          <w:i w:val="0"/>
          <w:color w:val="000000"/>
          <w:sz w:val="21"/>
        </w:rPr>
        <w:t>Respectfully submitted,</w:t>
      </w:r>
    </w:p>
    <w:p>
      <w:pPr>
        <w:spacing w:before="160" w:after="40"/>
        <w:jc w:val="left"/>
      </w:pPr>
      <w:r>
        <w:rPr>
          <w:rFonts w:ascii="Arial" w:hAnsi="Arial"/>
          <w:b w:val="0"/>
          <w:i w:val="0"/>
          <w:color w:val="000000"/>
          <w:sz w:val="21"/>
        </w:rPr>
        <w:t>By: _________________________________</w:t>
      </w:r>
    </w:p>
    <w:p>
      <w:pPr>
        <w:spacing w:before="40" w:after="40"/>
        <w:jc w:val="left"/>
      </w:pPr>
      <w:r>
        <w:rPr>
          <w:rFonts w:ascii="Arial" w:hAnsi="Arial"/>
          <w:b w:val="0"/>
          <w:i w:val="0"/>
          <w:color w:val="000000"/>
          <w:sz w:val="21"/>
        </w:rPr>
        <w:t>[YOUR NAME], Respondent, Appearing Pro Se</w:t>
      </w:r>
    </w:p>
    <w:p>
      <w:pPr>
        <w:spacing w:before="40" w:after="40"/>
        <w:jc w:val="left"/>
      </w:pPr>
      <w:r>
        <w:rPr>
          <w:rFonts w:ascii="Arial" w:hAnsi="Arial"/>
          <w:b w:val="0"/>
          <w:i w:val="0"/>
          <w:color w:val="000000"/>
          <w:sz w:val="21"/>
        </w:rPr>
        <w:t>Date: _________________________________</w:t>
      </w:r>
    </w:p>
    <w:p>
      <w:r>
        <w:br w:type="page"/>
      </w:r>
    </w:p>
    <w:p>
      <w:pPr>
        <w:spacing w:before="0" w:after="80"/>
        <w:jc w:val="center"/>
      </w:pPr>
      <w:r>
        <w:rPr>
          <w:rFonts w:ascii="Arial" w:hAnsi="Arial"/>
          <w:b/>
          <w:i w:val="0"/>
          <w:color w:val="1A1A2E"/>
          <w:sz w:val="26"/>
        </w:rPr>
        <w:t>PART FOUR</w:t>
      </w:r>
    </w:p>
    <w:p>
      <w:pPr>
        <w:spacing w:before="0" w:after="120"/>
        <w:jc w:val="center"/>
      </w:pPr>
      <w:r>
        <w:rPr>
          <w:rFonts w:ascii="Arial" w:hAnsi="Arial"/>
          <w:b/>
          <w:i w:val="0"/>
          <w:color w:val="222244"/>
          <w:sz w:val="22"/>
        </w:rPr>
        <w:t>THE LEGAL FOUNDATION: JURISDICTION AND THE DOCTRINE</w:t>
      </w:r>
    </w:p>
    <w:p>
      <w:pPr>
        <w:spacing w:before="280" w:after="80"/>
        <w:jc w:val="left"/>
        <w:pBdr>
          <w:bottom w:val="single" w:sz="4" w:space="1" w:color="1a1a2e"/>
        </w:pBdr>
      </w:pPr>
      <w:r>
        <w:rPr>
          <w:rFonts w:ascii="Arial" w:hAnsi="Arial"/>
          <w:b/>
          <w:i w:val="0"/>
          <w:color w:val="1A1A2E"/>
          <w:sz w:val="24"/>
        </w:rPr>
        <w:t>THE SPIRITUAL FOUNDATION OF THE JURISDICTION CHALLENGE</w:t>
      </w:r>
    </w:p>
    <w:p>
      <w:pPr>
        <w:spacing w:before="0" w:after="120"/>
        <w:jc w:val="both"/>
      </w:pPr>
      <w:r>
        <w:rPr>
          <w:rFonts w:ascii="Arial" w:hAnsi="Arial"/>
          <w:b w:val="0"/>
          <w:i w:val="0"/>
          <w:color w:val="000000"/>
          <w:sz w:val="21"/>
        </w:rPr>
        <w:t>The jurisdiction challenge in this toolkit is not merely a procedural tactic. It is rooted in the foundational premise of the Doctrine of Pre-Political Sovereign Being: that the living being's existence precedes the State, and that any forum claiming authority over that living being must be able to demonstrate the specific legal basis for that authority.</w:t>
      </w:r>
    </w:p>
    <w:p>
      <w:pPr>
        <w:spacing w:before="0" w:after="120"/>
        <w:jc w:val="both"/>
      </w:pPr>
      <w:r>
        <w:rPr>
          <w:rFonts w:ascii="Arial" w:hAnsi="Arial"/>
          <w:b w:val="0"/>
          <w:i w:val="0"/>
          <w:color w:val="000000"/>
          <w:sz w:val="21"/>
        </w:rPr>
        <w:t>Every court in the United States operates under an oath. That oath references a higher authority — God, truth, justice — that the court acknowledges as superior to its own administrative convenience. This doctrine does not ask courts to abandon their jurisdiction. It asks courts to exercise their jurisdiction honestly, constitutionally, and in accordance with the higher principles their own oaths acknowledge.</w:t>
      </w:r>
    </w:p>
    <w:p>
      <w:pPr>
        <w:spacing w:before="0" w:after="120"/>
        <w:jc w:val="both"/>
      </w:pPr>
      <w:r>
        <w:rPr>
          <w:rFonts w:ascii="Arial" w:hAnsi="Arial"/>
          <w:b w:val="0"/>
          <w:i w:val="0"/>
          <w:color w:val="000000"/>
          <w:sz w:val="21"/>
        </w:rPr>
        <w:t>The jurisdiction challenge is therefore both a procedural defense and a moral demand: demonstrate your authority, apply it honestly, and honor the rights of the living being that your own Constitution, your own statutes, your own case law, and your own international commitments have always promised to protect.</w:t>
      </w:r>
    </w:p>
    <w:p>
      <w:pPr>
        <w:spacing w:before="280" w:after="80"/>
        <w:jc w:val="left"/>
        <w:pBdr>
          <w:bottom w:val="single" w:sz="4" w:space="1" w:color="1a1a2e"/>
        </w:pBdr>
      </w:pPr>
      <w:r>
        <w:rPr>
          <w:rFonts w:ascii="Arial" w:hAnsi="Arial"/>
          <w:b/>
          <w:i w:val="0"/>
          <w:color w:val="1A1A2E"/>
          <w:sz w:val="24"/>
        </w:rPr>
        <w:t>COMPLETE TABLE OF LEGAL AUTHORITIES</w:t>
      </w:r>
    </w:p>
    <w:p>
      <w:pPr>
        <w:spacing w:before="200" w:after="60"/>
        <w:jc w:val="left"/>
      </w:pPr>
      <w:r>
        <w:rPr>
          <w:rFonts w:ascii="Arial" w:hAnsi="Arial"/>
          <w:b/>
          <w:i w:val="0"/>
          <w:color w:val="222244"/>
          <w:sz w:val="22"/>
        </w:rPr>
        <w:t>United States Supreme Court Cases</w:t>
      </w:r>
    </w:p>
    <w:p>
      <w:pPr>
        <w:pStyle w:val="ListBullet"/>
        <w:spacing w:after="60"/>
        <w:ind w:left="576"/>
      </w:pPr>
      <w:r>
        <w:rPr>
          <w:rFonts w:ascii="Arial" w:hAnsi="Arial"/>
          <w:sz w:val="21"/>
        </w:rPr>
        <w:t>Arbaugh v. Y&amp;H Corp., 546 U.S. 500 (2006)</w:t>
      </w:r>
    </w:p>
    <w:p>
      <w:pPr>
        <w:pStyle w:val="ListBullet"/>
        <w:spacing w:after="60"/>
        <w:ind w:left="576"/>
      </w:pPr>
      <w:r>
        <w:rPr>
          <w:rFonts w:ascii="Arial" w:hAnsi="Arial"/>
          <w:sz w:val="21"/>
        </w:rPr>
        <w:t>Barker v. Wingo, 407 U.S. 514 (1972)</w:t>
      </w:r>
    </w:p>
    <w:p>
      <w:pPr>
        <w:pStyle w:val="ListBullet"/>
        <w:spacing w:after="60"/>
        <w:ind w:left="576"/>
      </w:pPr>
      <w:r>
        <w:rPr>
          <w:rFonts w:ascii="Arial" w:hAnsi="Arial"/>
          <w:sz w:val="21"/>
        </w:rPr>
        <w:t>Bristol-Myers Squibb Co. v. Superior Court, 582 U.S. 255 (2017)</w:t>
      </w:r>
    </w:p>
    <w:p>
      <w:pPr>
        <w:pStyle w:val="ListBullet"/>
        <w:spacing w:after="60"/>
        <w:ind w:left="576"/>
      </w:pPr>
      <w:r>
        <w:rPr>
          <w:rFonts w:ascii="Arial" w:hAnsi="Arial"/>
          <w:sz w:val="21"/>
        </w:rPr>
        <w:t>Broadrick v. Oklahoma, 413 U.S. 601 (1973)</w:t>
      </w:r>
    </w:p>
    <w:p>
      <w:pPr>
        <w:pStyle w:val="ListBullet"/>
        <w:spacing w:after="60"/>
        <w:ind w:left="576"/>
      </w:pPr>
      <w:r>
        <w:rPr>
          <w:rFonts w:ascii="Arial" w:hAnsi="Arial"/>
          <w:sz w:val="21"/>
        </w:rPr>
        <w:t>Burwell v. Hobby Lobby Stores, Inc., 573 U.S. 682 (2014)</w:t>
      </w:r>
    </w:p>
    <w:p>
      <w:pPr>
        <w:pStyle w:val="ListBullet"/>
        <w:spacing w:after="60"/>
        <w:ind w:left="576"/>
      </w:pPr>
      <w:r>
        <w:rPr>
          <w:rFonts w:ascii="Arial" w:hAnsi="Arial"/>
          <w:sz w:val="21"/>
        </w:rPr>
        <w:t>City of Arlington v. FCC, 569 U.S. 290 (2013)</w:t>
      </w:r>
    </w:p>
    <w:p>
      <w:pPr>
        <w:pStyle w:val="ListBullet"/>
        <w:spacing w:after="60"/>
        <w:ind w:left="576"/>
      </w:pPr>
      <w:r>
        <w:rPr>
          <w:rFonts w:ascii="Arial" w:hAnsi="Arial"/>
          <w:sz w:val="21"/>
        </w:rPr>
        <w:t>Frazee v. Illinois Department of Employment Security, 489 U.S. 829 (1989)</w:t>
      </w:r>
    </w:p>
    <w:p>
      <w:pPr>
        <w:pStyle w:val="ListBullet"/>
        <w:spacing w:after="60"/>
        <w:ind w:left="576"/>
      </w:pPr>
      <w:r>
        <w:rPr>
          <w:rFonts w:ascii="Arial" w:hAnsi="Arial"/>
          <w:sz w:val="21"/>
        </w:rPr>
        <w:t>Gonzales v. O Centro Espirita Beneficente Uniao do Vegetal, 546 U.S. 418 (2006)</w:t>
      </w:r>
    </w:p>
    <w:p>
      <w:pPr>
        <w:pStyle w:val="ListBullet"/>
        <w:spacing w:after="60"/>
        <w:ind w:left="576"/>
      </w:pPr>
      <w:r>
        <w:rPr>
          <w:rFonts w:ascii="Arial" w:hAnsi="Arial"/>
          <w:sz w:val="21"/>
        </w:rPr>
        <w:t>Grayned v. City of Rockford, 408 U.S. 104 (1972)</w:t>
      </w:r>
    </w:p>
    <w:p>
      <w:pPr>
        <w:pStyle w:val="ListBullet"/>
        <w:spacing w:after="60"/>
        <w:ind w:left="576"/>
      </w:pPr>
      <w:r>
        <w:rPr>
          <w:rFonts w:ascii="Arial" w:hAnsi="Arial"/>
          <w:sz w:val="21"/>
        </w:rPr>
        <w:t>International Shoe Co. v. Washington, 326 U.S. 310 (1945)</w:t>
      </w:r>
    </w:p>
    <w:p>
      <w:pPr>
        <w:pStyle w:val="ListBullet"/>
        <w:spacing w:after="60"/>
        <w:ind w:left="576"/>
      </w:pPr>
      <w:r>
        <w:rPr>
          <w:rFonts w:ascii="Arial" w:hAnsi="Arial"/>
          <w:sz w:val="21"/>
        </w:rPr>
        <w:t>Loper Bright Enterprises v. Raimondo, 603 U.S. ___ (2024)</w:t>
      </w:r>
    </w:p>
    <w:p>
      <w:pPr>
        <w:pStyle w:val="ListBullet"/>
        <w:spacing w:after="60"/>
        <w:ind w:left="576"/>
      </w:pPr>
      <w:r>
        <w:rPr>
          <w:rFonts w:ascii="Arial" w:hAnsi="Arial"/>
          <w:sz w:val="21"/>
        </w:rPr>
        <w:t>Lujan v. Defenders of Wildlife, 504 U.S. 555 (1992)</w:t>
      </w:r>
    </w:p>
    <w:p>
      <w:pPr>
        <w:pStyle w:val="ListBullet"/>
        <w:spacing w:after="60"/>
        <w:ind w:left="576"/>
      </w:pPr>
      <w:r>
        <w:rPr>
          <w:rFonts w:ascii="Arial" w:hAnsi="Arial"/>
          <w:sz w:val="21"/>
        </w:rPr>
        <w:t>Mathews v. Eldridge, 424 U.S. 319 (1976)</w:t>
      </w:r>
    </w:p>
    <w:p>
      <w:pPr>
        <w:pStyle w:val="ListBullet"/>
        <w:spacing w:after="60"/>
        <w:ind w:left="576"/>
      </w:pPr>
      <w:r>
        <w:rPr>
          <w:rFonts w:ascii="Arial" w:hAnsi="Arial"/>
          <w:sz w:val="21"/>
        </w:rPr>
        <w:t>McNutt v. General Motors Acceptance Corp., 298 U.S. 178 (1936)</w:t>
      </w:r>
    </w:p>
    <w:p>
      <w:pPr>
        <w:pStyle w:val="ListBullet"/>
        <w:spacing w:after="60"/>
        <w:ind w:left="576"/>
      </w:pPr>
      <w:r>
        <w:rPr>
          <w:rFonts w:ascii="Arial" w:hAnsi="Arial"/>
          <w:sz w:val="21"/>
        </w:rPr>
        <w:t>Russell v. United States, 369 U.S. 749 (1962)</w:t>
      </w:r>
    </w:p>
    <w:p>
      <w:pPr>
        <w:pStyle w:val="ListBullet"/>
        <w:spacing w:after="60"/>
        <w:ind w:left="576"/>
      </w:pPr>
      <w:r>
        <w:rPr>
          <w:rFonts w:ascii="Arial" w:hAnsi="Arial"/>
          <w:sz w:val="21"/>
        </w:rPr>
        <w:t>Steel Co. v. Citizens for a Better Environment, 523 U.S. 83 (1998)</w:t>
      </w:r>
    </w:p>
    <w:p>
      <w:pPr>
        <w:pStyle w:val="ListBullet"/>
        <w:spacing w:after="60"/>
        <w:ind w:left="576"/>
      </w:pPr>
      <w:r>
        <w:rPr>
          <w:rFonts w:ascii="Arial" w:hAnsi="Arial"/>
          <w:sz w:val="21"/>
        </w:rPr>
        <w:t>Strunk v. United States, 412 U.S. 434 (1973)</w:t>
      </w:r>
    </w:p>
    <w:p>
      <w:pPr>
        <w:pStyle w:val="ListBullet"/>
        <w:spacing w:after="60"/>
        <w:ind w:left="576"/>
      </w:pPr>
      <w:r>
        <w:rPr>
          <w:rFonts w:ascii="Arial" w:hAnsi="Arial"/>
          <w:sz w:val="21"/>
        </w:rPr>
        <w:t>Thomas v. Review Board, 450 U.S. 707 (1981)</w:t>
      </w:r>
    </w:p>
    <w:p>
      <w:pPr>
        <w:pStyle w:val="ListBullet"/>
        <w:spacing w:after="60"/>
        <w:ind w:left="576"/>
      </w:pPr>
      <w:r>
        <w:rPr>
          <w:rFonts w:ascii="Arial" w:hAnsi="Arial"/>
          <w:sz w:val="21"/>
        </w:rPr>
        <w:t>United States v. Armstrong, 517 U.S. 456 (1996)</w:t>
      </w:r>
    </w:p>
    <w:p>
      <w:pPr>
        <w:pStyle w:val="ListBullet"/>
        <w:spacing w:after="60"/>
        <w:ind w:left="576"/>
      </w:pPr>
      <w:r>
        <w:rPr>
          <w:rFonts w:ascii="Arial" w:hAnsi="Arial"/>
          <w:sz w:val="21"/>
        </w:rPr>
        <w:t>United States v. Seeger, 380 U.S. 163 (1965)</w:t>
      </w:r>
    </w:p>
    <w:p>
      <w:pPr>
        <w:pStyle w:val="ListBullet"/>
        <w:spacing w:after="60"/>
        <w:ind w:left="576"/>
      </w:pPr>
      <w:r>
        <w:rPr>
          <w:rFonts w:ascii="Arial" w:hAnsi="Arial"/>
          <w:sz w:val="21"/>
        </w:rPr>
        <w:t>Utility Air Regulatory Group v. EPA, 573 U.S. 302 (2014)</w:t>
      </w:r>
    </w:p>
    <w:p>
      <w:pPr>
        <w:pStyle w:val="ListBullet"/>
        <w:spacing w:after="60"/>
        <w:ind w:left="576"/>
      </w:pPr>
      <w:r>
        <w:rPr>
          <w:rFonts w:ascii="Arial" w:hAnsi="Arial"/>
          <w:sz w:val="21"/>
        </w:rPr>
        <w:t>Wayte v. United States, 470 U.S. 598 (1985)</w:t>
      </w:r>
    </w:p>
    <w:p>
      <w:pPr>
        <w:pStyle w:val="ListBullet"/>
        <w:spacing w:after="60"/>
        <w:ind w:left="576"/>
      </w:pPr>
      <w:r>
        <w:rPr>
          <w:rFonts w:ascii="Arial" w:hAnsi="Arial"/>
          <w:sz w:val="21"/>
        </w:rPr>
        <w:t>World-Wide Volkswagen Corp. v. Woodson, 444 U.S. 286 (1980)</w:t>
      </w:r>
    </w:p>
    <w:p>
      <w:pPr>
        <w:pStyle w:val="ListBullet"/>
        <w:spacing w:after="60"/>
        <w:ind w:left="576"/>
      </w:pPr>
      <w:r>
        <w:rPr>
          <w:rFonts w:ascii="Arial" w:hAnsi="Arial"/>
          <w:sz w:val="21"/>
        </w:rPr>
        <w:t>Yick Wo v. Hopkins, 118 U.S. 356 (1886)</w:t>
      </w:r>
    </w:p>
    <w:p>
      <w:pPr>
        <w:spacing w:before="200" w:after="60"/>
        <w:jc w:val="left"/>
      </w:pPr>
      <w:r>
        <w:rPr>
          <w:rFonts w:ascii="Arial" w:hAnsi="Arial"/>
          <w:b/>
          <w:i w:val="0"/>
          <w:color w:val="222244"/>
          <w:sz w:val="22"/>
        </w:rPr>
        <w:t>Federal Statutes and Rules</w:t>
      </w:r>
    </w:p>
    <w:p>
      <w:pPr>
        <w:pStyle w:val="ListBullet"/>
        <w:spacing w:after="60"/>
        <w:ind w:left="576"/>
      </w:pPr>
      <w:r>
        <w:rPr>
          <w:rFonts w:ascii="Arial" w:hAnsi="Arial"/>
          <w:sz w:val="21"/>
        </w:rPr>
        <w:t>U.S. Const. Art. III (Judicial Power; Case or Controversy Requirement)</w:t>
      </w:r>
    </w:p>
    <w:p>
      <w:pPr>
        <w:pStyle w:val="ListBullet"/>
        <w:spacing w:after="60"/>
        <w:ind w:left="576"/>
      </w:pPr>
      <w:r>
        <w:rPr>
          <w:rFonts w:ascii="Arial" w:hAnsi="Arial"/>
          <w:sz w:val="21"/>
        </w:rPr>
        <w:t>U.S. Const. amend. V (Due Process; Grand Jury)</w:t>
      </w:r>
    </w:p>
    <w:p>
      <w:pPr>
        <w:pStyle w:val="ListBullet"/>
        <w:spacing w:after="60"/>
        <w:ind w:left="576"/>
      </w:pPr>
      <w:r>
        <w:rPr>
          <w:rFonts w:ascii="Arial" w:hAnsi="Arial"/>
          <w:sz w:val="21"/>
        </w:rPr>
        <w:t>U.S. Const. amend. VI (Speedy Trial; Notice of Charges)</w:t>
      </w:r>
    </w:p>
    <w:p>
      <w:pPr>
        <w:pStyle w:val="ListBullet"/>
        <w:spacing w:after="60"/>
        <w:ind w:left="576"/>
      </w:pPr>
      <w:r>
        <w:rPr>
          <w:rFonts w:ascii="Arial" w:hAnsi="Arial"/>
          <w:sz w:val="21"/>
        </w:rPr>
        <w:t>U.S. Const. amend. XIV (Equal Protection; Due Process)</w:t>
      </w:r>
    </w:p>
    <w:p>
      <w:pPr>
        <w:pStyle w:val="ListBullet"/>
        <w:spacing w:after="60"/>
        <w:ind w:left="576"/>
      </w:pPr>
      <w:r>
        <w:rPr>
          <w:rFonts w:ascii="Arial" w:hAnsi="Arial"/>
          <w:sz w:val="21"/>
        </w:rPr>
        <w:t>Religious Freedom Restoration Act, 42 U.S.C. section 2000bb et seq.</w:t>
      </w:r>
    </w:p>
    <w:p>
      <w:pPr>
        <w:pStyle w:val="ListBullet"/>
        <w:spacing w:after="60"/>
        <w:ind w:left="576"/>
      </w:pPr>
      <w:r>
        <w:rPr>
          <w:rFonts w:ascii="Arial" w:hAnsi="Arial"/>
          <w:sz w:val="21"/>
        </w:rPr>
        <w:t>Administrative Procedure Act, 5 U.S.C. sections 701 et seq.</w:t>
      </w:r>
    </w:p>
    <w:p>
      <w:pPr>
        <w:pStyle w:val="ListBullet"/>
        <w:spacing w:after="60"/>
        <w:ind w:left="576"/>
      </w:pPr>
      <w:r>
        <w:rPr>
          <w:rFonts w:ascii="Arial" w:hAnsi="Arial"/>
          <w:sz w:val="21"/>
        </w:rPr>
        <w:t>28 U.S.C. section 1331 (Federal Question Jurisdiction)</w:t>
      </w:r>
    </w:p>
    <w:p>
      <w:pPr>
        <w:pStyle w:val="ListBullet"/>
        <w:spacing w:after="60"/>
        <w:ind w:left="576"/>
      </w:pPr>
      <w:r>
        <w:rPr>
          <w:rFonts w:ascii="Arial" w:hAnsi="Arial"/>
          <w:sz w:val="21"/>
        </w:rPr>
        <w:t>28 U.S.C. section 1332 (Diversity Jurisdiction)</w:t>
      </w:r>
    </w:p>
    <w:p>
      <w:pPr>
        <w:pStyle w:val="ListBullet"/>
        <w:spacing w:after="60"/>
        <w:ind w:left="576"/>
      </w:pPr>
      <w:r>
        <w:rPr>
          <w:rFonts w:ascii="Arial" w:hAnsi="Arial"/>
          <w:sz w:val="21"/>
        </w:rPr>
        <w:t>Federal Rule of Civil Procedure 12(b)(1) (Subject Matter Jurisdiction)</w:t>
      </w:r>
    </w:p>
    <w:p>
      <w:pPr>
        <w:pStyle w:val="ListBullet"/>
        <w:spacing w:after="60"/>
        <w:ind w:left="576"/>
      </w:pPr>
      <w:r>
        <w:rPr>
          <w:rFonts w:ascii="Arial" w:hAnsi="Arial"/>
          <w:sz w:val="21"/>
        </w:rPr>
        <w:t>Federal Rule of Civil Procedure 12(b)(2) (Personal Jurisdiction)</w:t>
      </w:r>
    </w:p>
    <w:p>
      <w:pPr>
        <w:pStyle w:val="ListBullet"/>
        <w:spacing w:after="60"/>
        <w:ind w:left="576"/>
      </w:pPr>
      <w:r>
        <w:rPr>
          <w:rFonts w:ascii="Arial" w:hAnsi="Arial"/>
          <w:sz w:val="21"/>
        </w:rPr>
        <w:t>Federal Rule of Criminal Procedure 12 (Pretrial Motions)</w:t>
      </w:r>
    </w:p>
    <w:p>
      <w:pPr>
        <w:spacing w:before="200" w:after="60"/>
        <w:jc w:val="left"/>
      </w:pPr>
      <w:r>
        <w:rPr>
          <w:rFonts w:ascii="Arial" w:hAnsi="Arial"/>
          <w:b/>
          <w:i w:val="0"/>
          <w:color w:val="222244"/>
          <w:sz w:val="22"/>
        </w:rPr>
        <w:t>Georgia Law</w:t>
      </w:r>
    </w:p>
    <w:p>
      <w:pPr>
        <w:pStyle w:val="ListBullet"/>
        <w:spacing w:after="60"/>
        <w:ind w:left="576"/>
      </w:pPr>
      <w:r>
        <w:rPr>
          <w:rFonts w:ascii="Arial" w:hAnsi="Arial"/>
          <w:sz w:val="21"/>
        </w:rPr>
        <w:t>Georgia Constitution, Art. VI (Judicial Branch; Jurisdiction)</w:t>
      </w:r>
    </w:p>
    <w:p>
      <w:pPr>
        <w:pStyle w:val="ListBullet"/>
        <w:spacing w:after="60"/>
        <w:ind w:left="576"/>
      </w:pPr>
      <w:r>
        <w:rPr>
          <w:rFonts w:ascii="Arial" w:hAnsi="Arial"/>
          <w:sz w:val="21"/>
        </w:rPr>
        <w:t>O.C.G.A. section 9-11-12 (Georgia Civil Practice Act, Motion to Dismiss)</w:t>
      </w:r>
    </w:p>
    <w:p>
      <w:pPr>
        <w:pStyle w:val="ListBullet"/>
        <w:spacing w:after="60"/>
        <w:ind w:left="576"/>
      </w:pPr>
      <w:r>
        <w:rPr>
          <w:rFonts w:ascii="Arial" w:hAnsi="Arial"/>
          <w:sz w:val="21"/>
        </w:rPr>
        <w:t>O.C.G.A. section 17-7-170 (Georgia Speedy Trial Act)</w:t>
      </w:r>
    </w:p>
    <w:p>
      <w:pPr>
        <w:pStyle w:val="ListBullet"/>
        <w:spacing w:after="60"/>
        <w:ind w:left="576"/>
      </w:pPr>
      <w:r>
        <w:rPr>
          <w:rFonts w:ascii="Arial" w:hAnsi="Arial"/>
          <w:sz w:val="21"/>
        </w:rPr>
        <w:t>Georgia Religious Freedom Restoration Act, O.C.G.A. section 50-3-1 et seq.</w:t>
      </w:r>
    </w:p>
    <w:p>
      <w:pPr>
        <w:spacing w:before="200" w:after="60"/>
        <w:jc w:val="left"/>
      </w:pPr>
      <w:r>
        <w:rPr>
          <w:rFonts w:ascii="Arial" w:hAnsi="Arial"/>
          <w:b/>
          <w:i w:val="0"/>
          <w:color w:val="222244"/>
          <w:sz w:val="22"/>
        </w:rPr>
        <w:t>Doctrine Sources</w:t>
      </w:r>
    </w:p>
    <w:p>
      <w:pPr>
        <w:pStyle w:val="ListBullet"/>
        <w:spacing w:after="60"/>
        <w:ind w:left="576"/>
      </w:pPr>
      <w:r>
        <w:rPr>
          <w:rFonts w:ascii="Arial" w:hAnsi="Arial"/>
          <w:sz w:val="21"/>
        </w:rPr>
        <w:t>Rickey Allan Howard, The Sovereign Self: Reclaiming Divine Intent in Law and Governance, Volumes I-VII (2025-2026)</w:t>
      </w:r>
    </w:p>
    <w:p>
      <w:pPr>
        <w:pStyle w:val="ListBullet"/>
        <w:spacing w:after="60"/>
        <w:ind w:left="576"/>
      </w:pPr>
      <w:r>
        <w:rPr>
          <w:rFonts w:ascii="Arial" w:hAnsi="Arial"/>
          <w:sz w:val="21"/>
        </w:rPr>
        <w:t>Rickey Allan Howard, The Doctrine of Pre-Political Sovereign Being (2026)</w:t>
      </w:r>
    </w:p>
    <w:p>
      <w:pPr>
        <w:pStyle w:val="ListBullet"/>
        <w:spacing w:after="60"/>
        <w:ind w:left="576"/>
      </w:pPr>
      <w:r>
        <w:rPr>
          <w:rFonts w:ascii="Arial" w:hAnsi="Arial"/>
          <w:sz w:val="21"/>
        </w:rPr>
        <w:t>Rickey Allan Howard, Declaration of Standing (2026)</w:t>
      </w:r>
    </w:p>
    <w:p>
      <w:pPr>
        <w:pStyle w:val="ListBullet"/>
        <w:spacing w:after="60"/>
        <w:ind w:left="576"/>
      </w:pPr>
      <w:r>
        <w:rPr>
          <w:rFonts w:ascii="Arial" w:hAnsi="Arial"/>
          <w:sz w:val="21"/>
        </w:rPr>
        <w:t>Rickey Allan Howard, Argument Before the Honorable Justices of the Supreme Court (2025)</w:t>
      </w:r>
    </w:p>
    <w:p>
      <w:pPr>
        <w:spacing w:before="120" w:after="120"/>
        <w:jc w:val="center"/>
        <w:pBdr>
          <w:bottom w:val="single" w:sz="2" w:space="1" w:color="888888"/>
        </w:pBdr>
      </w:pPr>
    </w:p>
    <w:p>
      <w:pPr>
        <w:spacing w:before="80" w:after="0"/>
        <w:jc w:val="center"/>
      </w:pPr>
      <w:r>
        <w:rPr>
          <w:rFonts w:ascii="Arial" w:hAnsi="Arial"/>
          <w:b w:val="0"/>
          <w:i/>
          <w:color w:val="555577"/>
          <w:sz w:val="21"/>
        </w:rPr>
        <w:t>This toolkit is Part Three of the Sovereign Self Legal Defense Series. It is a legal education and defense framework grounded in existing federal law, Georgia state law, and the Doctrine of Pre-Political Sovereign Being. It is not a substitute for licensed legal counsel. If you are facing criminal charges, consult a criminal defense attorney immediately. This document may be reproduced and shared freely for the defense of any living being whose rights are at risk.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