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val="0"/>
          <w:i w:val="0"/>
          <w:color w:val="555577"/>
          <w:sz w:val="22"/>
        </w:rPr>
        <w:t>TOOLKIT TWO</w:t>
      </w:r>
    </w:p>
    <w:p>
      <w:pPr>
        <w:spacing w:before="0" w:after="40"/>
        <w:jc w:val="center"/>
      </w:pPr>
      <w:r>
        <w:rPr>
          <w:rFonts w:ascii="Arial" w:hAnsi="Arial"/>
          <w:b/>
          <w:i w:val="0"/>
          <w:color w:val="1A1A2E"/>
          <w:sz w:val="30"/>
        </w:rPr>
        <w:t>TAX DISPUTE AND LABOR EXTRACTION</w:t>
      </w:r>
    </w:p>
    <w:p>
      <w:pPr>
        <w:spacing w:before="0" w:after="40"/>
        <w:jc w:val="center"/>
      </w:pPr>
      <w:r>
        <w:rPr>
          <w:rFonts w:ascii="Arial" w:hAnsi="Arial"/>
          <w:b w:val="0"/>
          <w:i/>
          <w:color w:val="222244"/>
          <w:sz w:val="22"/>
        </w:rPr>
        <w:t>A Legal Defense Guide for the Living Being</w:t>
      </w:r>
    </w:p>
    <w:p>
      <w:pPr>
        <w:spacing w:before="80" w:after="80"/>
        <w:jc w:val="center"/>
        <w:pBdr>
          <w:bottom w:val="single" w:sz="8" w:space="1" w:color="1a1a2e"/>
        </w:pBdr>
      </w:pPr>
    </w:p>
    <w:p>
      <w:pPr>
        <w:spacing w:before="80" w:after="40"/>
        <w:jc w:val="center"/>
      </w:pPr>
      <w:r>
        <w:rPr>
          <w:rFonts w:ascii="Arial" w:hAnsi="Arial"/>
          <w:b w:val="0"/>
          <w:i w:val="0"/>
          <w:color w:val="555577"/>
          <w:sz w:val="20"/>
        </w:rPr>
        <w:t>Rickey Allan Howard  |  Athens, Georgia  |  March 19, 2026</w:t>
      </w:r>
    </w:p>
    <w:p>
      <w:pPr>
        <w:spacing w:before="0" w:after="40"/>
        <w:jc w:val="center"/>
      </w:pPr>
      <w:r>
        <w:rPr>
          <w:rFonts w:ascii="Arial" w:hAnsi="Arial"/>
          <w:b w:val="0"/>
          <w:i/>
          <w:color w:val="555577"/>
          <w:sz w:val="18"/>
        </w:rPr>
        <w:t>Part of the Sovereign Self Legal Defense Series</w:t>
      </w:r>
    </w:p>
    <w:p>
      <w:pPr>
        <w:spacing w:before="0" w:after="160"/>
        <w:jc w:val="center"/>
      </w:pPr>
      <w:r>
        <w:rPr>
          <w:rFonts w:ascii="Arial" w:hAnsi="Arial"/>
          <w:b w:val="0"/>
          <w:i/>
          <w:color w:val="555577"/>
          <w:sz w:val="18"/>
        </w:rPr>
        <w:t>Grounded in: The Doctrine of Pre-Political Sovereign Being</w:t>
      </w:r>
    </w:p>
    <w:p>
      <w:pPr>
        <w:spacing w:before="40" w:after="120"/>
        <w:jc w:val="center"/>
        <w:pBdr>
          <w:bottom w:val="single" w:sz="4" w:space="1" w:color="1a1a2e"/>
        </w:pBdr>
      </w:pPr>
    </w:p>
    <w:p>
      <w:pPr>
        <w:spacing w:before="40" w:after="80"/>
        <w:jc w:val="center"/>
      </w:pPr>
      <w:r>
        <w:rPr>
          <w:rFonts w:ascii="Arial" w:hAnsi="Arial"/>
          <w:b/>
          <w:i w:val="0"/>
          <w:color w:val="1A1A2E"/>
          <w:sz w:val="20"/>
        </w:rPr>
        <w:t>HOW TO USE THIS DOCUMENT</w:t>
      </w:r>
    </w:p>
    <w:p>
      <w:pPr>
        <w:spacing w:before="40" w:after="160"/>
        <w:jc w:val="both"/>
      </w:pPr>
      <w:r>
        <w:rPr>
          <w:rFonts w:ascii="Arial" w:hAnsi="Arial"/>
          <w:b w:val="0"/>
          <w:i w:val="0"/>
          <w:color w:val="000000"/>
          <w:sz w:val="21"/>
        </w:rPr>
        <w:t>This toolkit has three parts. Part One covers your rights in tax disputes with the IRS and state revenue agencies, including the specific procedures and exact language to use. Part Two covers labor and wage rights, including what to do when your labor is extracted without full lawful compensation. Part Three is the complete legal foundation connecting both parts to the Doctrine of Pre-Political Sovereign Being, the Thirteenth Amendment badges and incidents doctrine, and the post-Loper Bright agency challenge framework. This document is for education and self-defense. It is not a substitute for a licensed tax attorney or employment attorney.</w:t>
      </w:r>
    </w:p>
    <w:p>
      <w:pPr>
        <w:spacing w:before="80" w:after="80"/>
        <w:ind w:left="288"/>
        <w:jc w:val="both"/>
      </w:pPr>
      <w:r>
        <w:rPr>
          <w:rFonts w:ascii="Arial" w:hAnsi="Arial"/>
          <w:b/>
          <w:i w:val="0"/>
          <w:color w:val="8B0000"/>
          <w:sz w:val="21"/>
        </w:rPr>
        <w:t xml:space="preserve">IMPORTANT: </w:t>
      </w:r>
      <w:r>
        <w:rPr>
          <w:rFonts w:ascii="Arial" w:hAnsi="Arial"/>
          <w:b w:val="0"/>
          <w:i w:val="0"/>
          <w:color w:val="000000"/>
          <w:sz w:val="21"/>
        </w:rPr>
        <w:t>This toolkit does NOT advocate for tax evasion, refusal to file, or any other conduct that constitutes a federal crime. Every strategy in this document operates within the law. The goal is to assert your legal rights fully, challenge unlawful overreach, and hold agencies accountable to the standards their own statutes impose on them.</w:t>
      </w:r>
    </w:p>
    <w:p>
      <w:r>
        <w:br w:type="page"/>
      </w:r>
    </w:p>
    <w:p>
      <w:pPr>
        <w:spacing w:before="0" w:after="80"/>
        <w:jc w:val="center"/>
      </w:pPr>
      <w:r>
        <w:rPr>
          <w:rFonts w:ascii="Arial" w:hAnsi="Arial"/>
          <w:b/>
          <w:i w:val="0"/>
          <w:color w:val="1A1A2E"/>
          <w:sz w:val="26"/>
        </w:rPr>
        <w:t>PART ONE</w:t>
      </w:r>
    </w:p>
    <w:p>
      <w:pPr>
        <w:spacing w:before="0" w:after="120"/>
        <w:jc w:val="center"/>
      </w:pPr>
      <w:r>
        <w:rPr>
          <w:rFonts w:ascii="Arial" w:hAnsi="Arial"/>
          <w:b/>
          <w:i w:val="0"/>
          <w:color w:val="222244"/>
          <w:sz w:val="22"/>
        </w:rPr>
        <w:t>TAX DISPUTES: YOUR RIGHTS AGAINST THE IRS AND STATE REVENUE AGENCIES</w:t>
      </w:r>
    </w:p>
    <w:p>
      <w:pPr>
        <w:spacing w:before="280" w:after="80"/>
        <w:jc w:val="left"/>
        <w:pBdr>
          <w:bottom w:val="single" w:sz="4" w:space="1" w:color="1a1a2e"/>
        </w:pBdr>
      </w:pPr>
      <w:r>
        <w:rPr>
          <w:rFonts w:ascii="Arial" w:hAnsi="Arial"/>
          <w:b/>
          <w:i w:val="0"/>
          <w:color w:val="1A1A2E"/>
          <w:sz w:val="24"/>
        </w:rPr>
        <w:t>WHAT THE IRS CAN AND CANNOT DO</w:t>
      </w:r>
    </w:p>
    <w:p>
      <w:pPr>
        <w:spacing w:before="0" w:after="120"/>
        <w:jc w:val="both"/>
      </w:pPr>
      <w:r>
        <w:rPr>
          <w:rFonts w:ascii="Arial" w:hAnsi="Arial"/>
          <w:b w:val="0"/>
          <w:i w:val="0"/>
          <w:color w:val="000000"/>
          <w:sz w:val="21"/>
        </w:rPr>
        <w:t>The IRS has significant enforcement authority. But it also operates under strict legal constraints that most people never invoke because they do not know they exist. The Taxpayer Bill of Rights, codified at 26 U.S.C. section 7803(a)(3), establishes ten fundamental rights every taxpayer holds against the IRS. These are not aspirational statements. They are legally enforceable rights, and the IRS is required by statute to inform taxpayers of them.</w:t>
      </w:r>
    </w:p>
    <w:p>
      <w:pPr>
        <w:spacing w:before="200" w:after="60"/>
        <w:jc w:val="left"/>
      </w:pPr>
      <w:r>
        <w:rPr>
          <w:rFonts w:ascii="Arial" w:hAnsi="Arial"/>
          <w:b/>
          <w:i w:val="0"/>
          <w:color w:val="222244"/>
          <w:sz w:val="22"/>
        </w:rPr>
        <w:t>The Ten Taxpayer Rights You Must Know</w:t>
      </w:r>
    </w:p>
    <w:p>
      <w:pPr>
        <w:pStyle w:val="ListBullet"/>
        <w:spacing w:after="60"/>
        <w:ind w:left="576"/>
      </w:pPr>
      <w:r>
        <w:rPr>
          <w:rFonts w:ascii="Arial" w:hAnsi="Arial"/>
          <w:sz w:val="21"/>
        </w:rPr>
        <w:t>The right to be informed about IRS decisions and the basis for those decisions.</w:t>
      </w:r>
    </w:p>
    <w:p>
      <w:pPr>
        <w:pStyle w:val="ListBullet"/>
        <w:spacing w:after="60"/>
        <w:ind w:left="576"/>
      </w:pPr>
      <w:r>
        <w:rPr>
          <w:rFonts w:ascii="Arial" w:hAnsi="Arial"/>
          <w:sz w:val="21"/>
        </w:rPr>
        <w:t>The right to receive quality service including clear explanations of the law and IRS procedures.</w:t>
      </w:r>
    </w:p>
    <w:p>
      <w:pPr>
        <w:pStyle w:val="ListBullet"/>
        <w:spacing w:after="60"/>
        <w:ind w:left="576"/>
      </w:pPr>
      <w:r>
        <w:rPr>
          <w:rFonts w:ascii="Arial" w:hAnsi="Arial"/>
          <w:sz w:val="21"/>
        </w:rPr>
        <w:t>The right to pay no more than the correct amount of tax owed.</w:t>
      </w:r>
    </w:p>
    <w:p>
      <w:pPr>
        <w:pStyle w:val="ListBullet"/>
        <w:spacing w:after="60"/>
        <w:ind w:left="576"/>
      </w:pPr>
      <w:r>
        <w:rPr>
          <w:rFonts w:ascii="Arial" w:hAnsi="Arial"/>
          <w:sz w:val="21"/>
        </w:rPr>
        <w:t>The right to challenge the IRS's position and be heard through the administrative and judicial process.</w:t>
      </w:r>
    </w:p>
    <w:p>
      <w:pPr>
        <w:pStyle w:val="ListBullet"/>
        <w:spacing w:after="60"/>
        <w:ind w:left="576"/>
      </w:pPr>
      <w:r>
        <w:rPr>
          <w:rFonts w:ascii="Arial" w:hAnsi="Arial"/>
          <w:sz w:val="21"/>
        </w:rPr>
        <w:t>The right to appeal an IRS decision in an independent forum.</w:t>
      </w:r>
    </w:p>
    <w:p>
      <w:pPr>
        <w:pStyle w:val="ListBullet"/>
        <w:spacing w:after="60"/>
        <w:ind w:left="576"/>
      </w:pPr>
      <w:r>
        <w:rPr>
          <w:rFonts w:ascii="Arial" w:hAnsi="Arial"/>
          <w:sz w:val="21"/>
        </w:rPr>
        <w:t>The right to finality, meaning the IRS cannot keep a tax matter open indefinitely.</w:t>
      </w:r>
    </w:p>
    <w:p>
      <w:pPr>
        <w:pStyle w:val="ListBullet"/>
        <w:spacing w:after="60"/>
        <w:ind w:left="576"/>
      </w:pPr>
      <w:r>
        <w:rPr>
          <w:rFonts w:ascii="Arial" w:hAnsi="Arial"/>
          <w:sz w:val="21"/>
        </w:rPr>
        <w:t>The right to privacy, meaning IRS actions must be no more intrusive than necessary.</w:t>
      </w:r>
    </w:p>
    <w:p>
      <w:pPr>
        <w:pStyle w:val="ListBullet"/>
        <w:spacing w:after="60"/>
        <w:ind w:left="576"/>
      </w:pPr>
      <w:r>
        <w:rPr>
          <w:rFonts w:ascii="Arial" w:hAnsi="Arial"/>
          <w:sz w:val="21"/>
        </w:rPr>
        <w:t>The right to confidentiality of your tax information.</w:t>
      </w:r>
    </w:p>
    <w:p>
      <w:pPr>
        <w:pStyle w:val="ListBullet"/>
        <w:spacing w:after="60"/>
        <w:ind w:left="576"/>
      </w:pPr>
      <w:r>
        <w:rPr>
          <w:rFonts w:ascii="Arial" w:hAnsi="Arial"/>
          <w:sz w:val="21"/>
        </w:rPr>
        <w:t>The right to retain representation by a licensed tax professional.</w:t>
      </w:r>
    </w:p>
    <w:p>
      <w:pPr>
        <w:pStyle w:val="ListBullet"/>
        <w:spacing w:after="60"/>
        <w:ind w:left="576"/>
      </w:pPr>
      <w:r>
        <w:rPr>
          <w:rFonts w:ascii="Arial" w:hAnsi="Arial"/>
          <w:sz w:val="21"/>
        </w:rPr>
        <w:t>The right to a fair and just tax system.</w:t>
      </w:r>
    </w:p>
    <w:p>
      <w:pPr>
        <w:spacing w:before="40" w:after="80"/>
        <w:ind w:left="432" w:right="432"/>
        <w:jc w:val="both"/>
      </w:pPr>
      <w:r>
        <w:rPr>
          <w:rFonts w:ascii="Arial" w:hAnsi="Arial"/>
          <w:b/>
          <w:i w:val="0"/>
          <w:color w:val="555577"/>
          <w:sz w:val="19"/>
        </w:rPr>
        <w:t xml:space="preserve">Legal Basis: </w:t>
      </w:r>
      <w:r>
        <w:rPr>
          <w:rFonts w:ascii="Arial" w:hAnsi="Arial"/>
          <w:b w:val="0"/>
          <w:i/>
          <w:color w:val="555577"/>
          <w:sz w:val="19"/>
        </w:rPr>
        <w:t>Taxpayer Bill of Rights, 26 U.S.C. section 7803(a)(3). The IRS is required by statute to ensure that IRS employees are aware of and act in accordance with these rights in every interaction with taxpayers.</w:t>
      </w:r>
    </w:p>
    <w:p>
      <w:pPr>
        <w:spacing w:before="120" w:after="120"/>
        <w:jc w:val="center"/>
        <w:pBdr>
          <w:bottom w:val="single" w:sz="4" w:space="1" w:color="1a1a2e"/>
        </w:pBdr>
      </w:pPr>
    </w:p>
    <w:p>
      <w:pPr>
        <w:spacing w:before="280" w:after="80"/>
        <w:jc w:val="left"/>
        <w:pBdr>
          <w:bottom w:val="single" w:sz="4" w:space="1" w:color="1a1a2e"/>
        </w:pBdr>
      </w:pPr>
      <w:r>
        <w:rPr>
          <w:rFonts w:ascii="Arial" w:hAnsi="Arial"/>
          <w:b/>
          <w:i w:val="0"/>
          <w:color w:val="1A1A2E"/>
          <w:sz w:val="24"/>
        </w:rPr>
        <w:t>WHEN YOU RECEIVE AN IRS NOTICE</w:t>
      </w:r>
    </w:p>
    <w:p>
      <w:pPr>
        <w:spacing w:before="0" w:after="160"/>
        <w:jc w:val="both"/>
      </w:pPr>
      <w:r>
        <w:rPr>
          <w:rFonts w:ascii="Arial" w:hAnsi="Arial"/>
          <w:b w:val="0"/>
          <w:i w:val="0"/>
          <w:color w:val="000000"/>
          <w:sz w:val="21"/>
        </w:rPr>
        <w:t>Do not panic. Do not ignore it. The worst thing you can do with an IRS notice is ignore it. Deadlines in IRS notices are legally significant. Missing them surrenders rights you cannot easily recover.</w:t>
      </w:r>
    </w:p>
    <w:p>
      <w:pPr>
        <w:spacing w:before="200" w:after="60"/>
        <w:jc w:val="left"/>
      </w:pPr>
      <w:r>
        <w:rPr>
          <w:rFonts w:ascii="Arial" w:hAnsi="Arial"/>
          <w:b/>
          <w:i w:val="0"/>
          <w:color w:val="222244"/>
          <w:sz w:val="22"/>
        </w:rPr>
        <w:t>Step One: Identify the Type of Notice</w:t>
      </w:r>
    </w:p>
    <w:p>
      <w:pPr>
        <w:spacing w:before="0" w:after="80"/>
        <w:jc w:val="both"/>
      </w:pPr>
      <w:r>
        <w:rPr>
          <w:rFonts w:ascii="Arial" w:hAnsi="Arial"/>
          <w:b w:val="0"/>
          <w:i w:val="0"/>
          <w:color w:val="000000"/>
          <w:sz w:val="21"/>
        </w:rPr>
        <w:t>Every IRS notice has a number in the upper right corner beginning with CP or LTR. The type of notice determines your response rights and deadlines. The most important notices to know:</w:t>
      </w:r>
    </w:p>
    <w:p>
      <w:pPr>
        <w:pStyle w:val="ListBullet"/>
        <w:spacing w:after="60"/>
        <w:ind w:left="576"/>
      </w:pPr>
      <w:r>
        <w:rPr>
          <w:rFonts w:ascii="Arial" w:hAnsi="Arial"/>
          <w:sz w:val="21"/>
        </w:rPr>
        <w:t>CP2000: Proposed changes to your return based on third-party information. You have 60 days to respond. This is not a bill. It is a proposal. You have the right to agree, disagree, or partially disagree.</w:t>
      </w:r>
    </w:p>
    <w:p>
      <w:pPr>
        <w:pStyle w:val="ListBullet"/>
        <w:spacing w:after="60"/>
        <w:ind w:left="576"/>
      </w:pPr>
      <w:r>
        <w:rPr>
          <w:rFonts w:ascii="Arial" w:hAnsi="Arial"/>
          <w:sz w:val="21"/>
        </w:rPr>
        <w:t>CP504: Intent to levy. This is serious. You have 30 days to respond before the IRS can begin levying wages or bank accounts.</w:t>
      </w:r>
    </w:p>
    <w:p>
      <w:pPr>
        <w:pStyle w:val="ListBullet"/>
        <w:spacing w:after="60"/>
        <w:ind w:left="576"/>
      </w:pPr>
      <w:r>
        <w:rPr>
          <w:rFonts w:ascii="Arial" w:hAnsi="Arial"/>
          <w:sz w:val="21"/>
        </w:rPr>
        <w:t>Letter 1058 / LT11: Final Notice of Intent to Levy and Notice of Your Right to a Hearing. This triggers your Collection Due Process (CDP) rights. You have 30 days from the date of this letter to request a CDP hearing.</w:t>
      </w:r>
    </w:p>
    <w:p>
      <w:pPr>
        <w:pStyle w:val="ListBullet"/>
        <w:spacing w:after="60"/>
        <w:ind w:left="576"/>
      </w:pPr>
      <w:r>
        <w:rPr>
          <w:rFonts w:ascii="Arial" w:hAnsi="Arial"/>
          <w:sz w:val="21"/>
        </w:rPr>
        <w:t>Letter 3172: Notice of Federal Tax Lien Filing. You have 30 days to request a CDP hearing.</w:t>
      </w:r>
    </w:p>
    <w:p>
      <w:pPr>
        <w:pStyle w:val="ListBullet"/>
        <w:spacing w:after="60"/>
        <w:ind w:left="576"/>
      </w:pPr>
      <w:r>
        <w:rPr>
          <w:rFonts w:ascii="Arial" w:hAnsi="Arial"/>
          <w:sz w:val="21"/>
        </w:rPr>
        <w:t>CP90: Final Notice Before Levy on Social Security Benefits. CDP rights apply.</w:t>
      </w:r>
    </w:p>
    <w:p>
      <w:pPr>
        <w:spacing w:before="80" w:after="80"/>
        <w:ind w:left="288"/>
        <w:jc w:val="both"/>
      </w:pPr>
      <w:r>
        <w:rPr>
          <w:rFonts w:ascii="Arial" w:hAnsi="Arial"/>
          <w:b/>
          <w:i w:val="0"/>
          <w:color w:val="7A5C00"/>
          <w:sz w:val="21"/>
        </w:rPr>
        <w:t xml:space="preserve">KEY POINT: </w:t>
      </w:r>
      <w:r>
        <w:rPr>
          <w:rFonts w:ascii="Arial" w:hAnsi="Arial"/>
          <w:b w:val="0"/>
          <w:i w:val="0"/>
          <w:color w:val="000000"/>
          <w:sz w:val="21"/>
        </w:rPr>
        <w:t>The Collection Due Process hearing is one of the most powerful tools available to a taxpayer. Once you request it within the 30-day window, the IRS must stop collection action and give you an independent hearing before the Office of Appeals. Do not miss this window.</w:t>
      </w:r>
    </w:p>
    <w:p>
      <w:pPr>
        <w:spacing w:before="40" w:after="80"/>
        <w:ind w:left="432" w:right="432"/>
        <w:jc w:val="both"/>
      </w:pPr>
      <w:r>
        <w:rPr>
          <w:rFonts w:ascii="Arial" w:hAnsi="Arial"/>
          <w:b/>
          <w:i w:val="0"/>
          <w:color w:val="555577"/>
          <w:sz w:val="19"/>
        </w:rPr>
        <w:t xml:space="preserve">Legal Basis: </w:t>
      </w:r>
      <w:r>
        <w:rPr>
          <w:rFonts w:ascii="Arial" w:hAnsi="Arial"/>
          <w:b w:val="0"/>
          <w:i/>
          <w:color w:val="555577"/>
          <w:sz w:val="19"/>
        </w:rPr>
        <w:t>26 U.S.C. section 6330: Collection Due Process hearing rights. IRC section 6320: Lien CDP rights. The CDP hearing is your right to challenge the underlying tax liability, the appropriateness of the collection action, and to propose collection alternatives including installment agreements, offers in compromise, and currently not collectible status.</w:t>
      </w:r>
    </w:p>
    <w:p>
      <w:pPr>
        <w:spacing w:before="120" w:after="120"/>
        <w:jc w:val="center"/>
        <w:pBdr>
          <w:bottom w:val="single" w:sz="4" w:space="1" w:color="1a1a2e"/>
        </w:pBdr>
      </w:pPr>
    </w:p>
    <w:p>
      <w:pPr>
        <w:spacing w:before="280" w:after="80"/>
        <w:jc w:val="left"/>
        <w:pBdr>
          <w:bottom w:val="single" w:sz="4" w:space="1" w:color="1a1a2e"/>
        </w:pBdr>
      </w:pPr>
      <w:r>
        <w:rPr>
          <w:rFonts w:ascii="Arial" w:hAnsi="Arial"/>
          <w:b/>
          <w:i w:val="0"/>
          <w:color w:val="1A1A2E"/>
          <w:sz w:val="24"/>
        </w:rPr>
        <w:t>THE COLLECTION DUE PROCESS HEARING: YOUR MOST POWERFUL TOOL</w:t>
      </w:r>
    </w:p>
    <w:p>
      <w:pPr>
        <w:spacing w:before="0" w:after="120"/>
        <w:jc w:val="both"/>
      </w:pPr>
      <w:r>
        <w:rPr>
          <w:rFonts w:ascii="Arial" w:hAnsi="Arial"/>
          <w:b w:val="0"/>
          <w:i w:val="0"/>
          <w:color w:val="000000"/>
          <w:sz w:val="21"/>
        </w:rPr>
        <w:t>The CDP hearing is where the average person has the most leverage against IRS collection action. It is free. It is your right by statute. It stops collection while it is pending. And it gives you access to the IRS Office of Appeals, which is independent of the IRS collection division.</w:t>
      </w:r>
    </w:p>
    <w:p>
      <w:pPr>
        <w:spacing w:before="200" w:after="60"/>
        <w:jc w:val="left"/>
      </w:pPr>
      <w:r>
        <w:rPr>
          <w:rFonts w:ascii="Arial" w:hAnsi="Arial"/>
          <w:b/>
          <w:i w:val="0"/>
          <w:color w:val="222244"/>
          <w:sz w:val="22"/>
        </w:rPr>
        <w:t>How to Request a CDP Hearing</w:t>
      </w:r>
    </w:p>
    <w:p>
      <w:pPr>
        <w:spacing w:before="80" w:after="40"/>
        <w:ind w:left="288"/>
        <w:jc w:val="left"/>
      </w:pPr>
      <w:r>
        <w:rPr>
          <w:rFonts w:ascii="Arial" w:hAnsi="Arial"/>
          <w:b/>
          <w:i w:val="0"/>
          <w:color w:val="004D00"/>
          <w:sz w:val="20"/>
        </w:rPr>
        <w:t xml:space="preserve">WRITE THIS:  </w:t>
      </w:r>
      <w:r>
        <w:rPr>
          <w:rFonts w:ascii="Arial" w:hAnsi="Arial"/>
          <w:b w:val="0"/>
          <w:i/>
          <w:color w:val="222244"/>
          <w:sz w:val="21"/>
        </w:rPr>
        <w:t>I am requesting a Collection Due Process hearing pursuant to 26 U.S.C. section 6330. I dispute the underlying tax liability and request consideration of collection alternatives.</w:t>
      </w:r>
    </w:p>
    <w:p>
      <w:pPr>
        <w:spacing w:before="80" w:after="120"/>
        <w:jc w:val="both"/>
      </w:pPr>
      <w:r>
        <w:rPr>
          <w:rFonts w:ascii="Arial" w:hAnsi="Arial"/>
          <w:b w:val="0"/>
          <w:i w:val="0"/>
          <w:color w:val="000000"/>
          <w:sz w:val="21"/>
        </w:rPr>
        <w:t>Send this request by certified mail, return receipt requested, to the address on the notice. Keep copies of everything. The postmark date is your deadline date.</w:t>
      </w:r>
    </w:p>
    <w:p>
      <w:pPr>
        <w:spacing w:before="200" w:after="60"/>
        <w:jc w:val="left"/>
      </w:pPr>
      <w:r>
        <w:rPr>
          <w:rFonts w:ascii="Arial" w:hAnsi="Arial"/>
          <w:b/>
          <w:i w:val="0"/>
          <w:color w:val="222244"/>
          <w:sz w:val="22"/>
        </w:rPr>
        <w:t>What to Raise at the CDP Hearing</w:t>
      </w:r>
    </w:p>
    <w:p>
      <w:pPr>
        <w:spacing w:before="0" w:after="80"/>
        <w:jc w:val="both"/>
      </w:pPr>
      <w:r>
        <w:rPr>
          <w:rFonts w:ascii="Arial" w:hAnsi="Arial"/>
          <w:b w:val="0"/>
          <w:i w:val="0"/>
          <w:color w:val="000000"/>
          <w:sz w:val="21"/>
        </w:rPr>
        <w:t>At the CDP hearing you may raise the following:</w:t>
      </w:r>
    </w:p>
    <w:p>
      <w:pPr>
        <w:pStyle w:val="ListBullet"/>
        <w:spacing w:after="60"/>
        <w:ind w:left="576"/>
      </w:pPr>
      <w:r>
        <w:rPr>
          <w:rFonts w:ascii="Arial" w:hAnsi="Arial"/>
          <w:sz w:val="21"/>
        </w:rPr>
        <w:t>Challenges to the underlying tax liability if you did not receive a prior opportunity to dispute it.</w:t>
      </w:r>
    </w:p>
    <w:p>
      <w:pPr>
        <w:pStyle w:val="ListBullet"/>
        <w:spacing w:after="60"/>
        <w:ind w:left="576"/>
      </w:pPr>
      <w:r>
        <w:rPr>
          <w:rFonts w:ascii="Arial" w:hAnsi="Arial"/>
          <w:sz w:val="21"/>
        </w:rPr>
        <w:t>Spousal defenses including innocent spouse relief under 26 U.S.C. section 6015.</w:t>
      </w:r>
    </w:p>
    <w:p>
      <w:pPr>
        <w:pStyle w:val="ListBullet"/>
        <w:spacing w:after="60"/>
        <w:ind w:left="576"/>
      </w:pPr>
      <w:r>
        <w:rPr>
          <w:rFonts w:ascii="Arial" w:hAnsi="Arial"/>
          <w:sz w:val="21"/>
        </w:rPr>
        <w:t>Collection alternatives: installment agreement, offer in compromise, currently not collectible status, penalty abatement.</w:t>
      </w:r>
    </w:p>
    <w:p>
      <w:pPr>
        <w:pStyle w:val="ListBullet"/>
        <w:spacing w:after="60"/>
        <w:ind w:left="576"/>
      </w:pPr>
      <w:r>
        <w:rPr>
          <w:rFonts w:ascii="Arial" w:hAnsi="Arial"/>
          <w:sz w:val="21"/>
        </w:rPr>
        <w:t>Procedural errors by the IRS in the collection process.</w:t>
      </w:r>
    </w:p>
    <w:p>
      <w:pPr>
        <w:pStyle w:val="ListBullet"/>
        <w:spacing w:after="60"/>
        <w:ind w:left="576"/>
      </w:pPr>
      <w:r>
        <w:rPr>
          <w:rFonts w:ascii="Arial" w:hAnsi="Arial"/>
          <w:sz w:val="21"/>
        </w:rPr>
        <w:t>Loper Bright challenge: where the IRS's position rests on agency interpretation of ambiguous statutory language, that interpretation is now subject to independent judicial review and is no longer entitled to deference.</w:t>
      </w:r>
    </w:p>
    <w:p>
      <w:pPr>
        <w:spacing w:before="40" w:after="80"/>
        <w:ind w:left="432" w:right="432"/>
        <w:jc w:val="both"/>
      </w:pPr>
      <w:r>
        <w:rPr>
          <w:rFonts w:ascii="Arial" w:hAnsi="Arial"/>
          <w:b/>
          <w:i w:val="0"/>
          <w:color w:val="555577"/>
          <w:sz w:val="19"/>
        </w:rPr>
        <w:t xml:space="preserve">Legal Basis: </w:t>
      </w:r>
      <w:r>
        <w:rPr>
          <w:rFonts w:ascii="Arial" w:hAnsi="Arial"/>
          <w:b w:val="0"/>
          <w:i/>
          <w:color w:val="555577"/>
          <w:sz w:val="19"/>
        </w:rPr>
        <w:t>Loper Bright Enterprises v. Raimondo, 603 U.S. ___ (2024): Courts must now independently interpret statutes rather than defer to agency interpretations. IRS regulations that rest on aggressive readings of ambiguous tax statutes are now challengeable on independent judicial review. This is a significant new tool that most taxpayers and practitioners have not yet fully deployed.</w:t>
      </w:r>
    </w:p>
    <w:p>
      <w:pPr>
        <w:spacing w:before="120" w:after="120"/>
        <w:jc w:val="center"/>
        <w:pBdr>
          <w:bottom w:val="single" w:sz="4" w:space="1" w:color="1a1a2e"/>
        </w:pBdr>
      </w:pPr>
    </w:p>
    <w:p>
      <w:pPr>
        <w:spacing w:before="280" w:after="80"/>
        <w:jc w:val="left"/>
        <w:pBdr>
          <w:bottom w:val="single" w:sz="4" w:space="1" w:color="1a1a2e"/>
        </w:pBdr>
      </w:pPr>
      <w:r>
        <w:rPr>
          <w:rFonts w:ascii="Arial" w:hAnsi="Arial"/>
          <w:b/>
          <w:i w:val="0"/>
          <w:color w:val="1A1A2E"/>
          <w:sz w:val="24"/>
        </w:rPr>
        <w:t>THE OFFER IN COMPROMISE: SETTLING FOR LESS THAN YOU OWE</w:t>
      </w:r>
    </w:p>
    <w:p>
      <w:pPr>
        <w:spacing w:before="0" w:after="120"/>
        <w:jc w:val="both"/>
      </w:pPr>
      <w:r>
        <w:rPr>
          <w:rFonts w:ascii="Arial" w:hAnsi="Arial"/>
          <w:b w:val="0"/>
          <w:i w:val="0"/>
          <w:color w:val="000000"/>
          <w:sz w:val="21"/>
        </w:rPr>
        <w:t>The Offer in Compromise program allows qualifying taxpayers to settle their tax debt for less than the full amount owed. The IRS is required by statute to consider an offer if the taxpayer meets the eligibility requirements. 26 U.S.C. section 7122.</w:t>
      </w:r>
    </w:p>
    <w:p>
      <w:pPr>
        <w:spacing w:before="200" w:after="60"/>
        <w:jc w:val="left"/>
      </w:pPr>
      <w:r>
        <w:rPr>
          <w:rFonts w:ascii="Arial" w:hAnsi="Arial"/>
          <w:b/>
          <w:i w:val="0"/>
          <w:color w:val="222244"/>
          <w:sz w:val="22"/>
        </w:rPr>
        <w:t>Three Grounds for an Offer in Compromise</w:t>
      </w:r>
    </w:p>
    <w:p>
      <w:pPr>
        <w:spacing w:before="100" w:after="60"/>
        <w:jc w:val="both"/>
      </w:pPr>
      <w:r>
        <w:rPr>
          <w:rFonts w:ascii="Arial" w:hAnsi="Arial"/>
          <w:b/>
          <w:i w:val="0"/>
          <w:color w:val="222244"/>
          <w:sz w:val="21"/>
        </w:rPr>
        <w:t xml:space="preserve">Doubt as to Liability:  </w:t>
      </w:r>
      <w:r>
        <w:rPr>
          <w:rFonts w:ascii="Arial" w:hAnsi="Arial"/>
          <w:b w:val="0"/>
          <w:i w:val="0"/>
          <w:color w:val="000000"/>
          <w:sz w:val="21"/>
        </w:rPr>
        <w:t>You have a legitimate dispute about whether you actually owe the tax assessed. This is the strongest ground and does not require financial hardship.</w:t>
      </w:r>
    </w:p>
    <w:p>
      <w:pPr>
        <w:spacing w:before="100" w:after="60"/>
        <w:jc w:val="both"/>
      </w:pPr>
      <w:r>
        <w:rPr>
          <w:rFonts w:ascii="Arial" w:hAnsi="Arial"/>
          <w:b/>
          <w:i w:val="0"/>
          <w:color w:val="222244"/>
          <w:sz w:val="21"/>
        </w:rPr>
        <w:t xml:space="preserve">Doubt as to Collectibility:  </w:t>
      </w:r>
      <w:r>
        <w:rPr>
          <w:rFonts w:ascii="Arial" w:hAnsi="Arial"/>
          <w:b w:val="0"/>
          <w:i w:val="0"/>
          <w:color w:val="000000"/>
          <w:sz w:val="21"/>
        </w:rPr>
        <w:t>Your assets and income are insufficient to pay the full liability within the remaining collection statute. The IRS uses a formula based on your reasonable collection potential.</w:t>
      </w:r>
    </w:p>
    <w:p>
      <w:pPr>
        <w:spacing w:before="100" w:after="60"/>
        <w:jc w:val="both"/>
      </w:pPr>
      <w:r>
        <w:rPr>
          <w:rFonts w:ascii="Arial" w:hAnsi="Arial"/>
          <w:b/>
          <w:i w:val="0"/>
          <w:color w:val="222244"/>
          <w:sz w:val="21"/>
        </w:rPr>
        <w:t xml:space="preserve">Effective Tax Administration:  </w:t>
      </w:r>
      <w:r>
        <w:rPr>
          <w:rFonts w:ascii="Arial" w:hAnsi="Arial"/>
          <w:b w:val="0"/>
          <w:i w:val="0"/>
          <w:color w:val="000000"/>
          <w:sz w:val="21"/>
        </w:rPr>
        <w:t>You can pay but doing so would create economic hardship or would be inequitable given exceptional circumstances. This ground is rarely granted but available.</w:t>
      </w:r>
    </w:p>
    <w:p>
      <w:pPr>
        <w:spacing w:before="80" w:after="80"/>
        <w:ind w:left="288"/>
        <w:jc w:val="both"/>
      </w:pPr>
      <w:r>
        <w:rPr>
          <w:rFonts w:ascii="Arial" w:hAnsi="Arial"/>
          <w:b/>
          <w:i w:val="0"/>
          <w:color w:val="7A5C00"/>
          <w:sz w:val="21"/>
        </w:rPr>
        <w:t xml:space="preserve">KEY POINT: </w:t>
      </w:r>
      <w:r>
        <w:rPr>
          <w:rFonts w:ascii="Arial" w:hAnsi="Arial"/>
          <w:b w:val="0"/>
          <w:i w:val="0"/>
          <w:color w:val="000000"/>
          <w:sz w:val="21"/>
        </w:rPr>
        <w:t>Filing an Offer in Compromise suspends the collection statute of limitations and stops levies while the offer is under consideration. Even if rejected, the process creates a record of your financial position that can support other collection alternatives.</w:t>
      </w:r>
    </w:p>
    <w:p>
      <w:pPr>
        <w:spacing w:before="120" w:after="120"/>
        <w:jc w:val="center"/>
        <w:pBdr>
          <w:bottom w:val="single" w:sz="4" w:space="1" w:color="1a1a2e"/>
        </w:pBdr>
      </w:pPr>
    </w:p>
    <w:p>
      <w:pPr>
        <w:spacing w:before="280" w:after="80"/>
        <w:jc w:val="left"/>
        <w:pBdr>
          <w:bottom w:val="single" w:sz="4" w:space="1" w:color="1a1a2e"/>
        </w:pBdr>
      </w:pPr>
      <w:r>
        <w:rPr>
          <w:rFonts w:ascii="Arial" w:hAnsi="Arial"/>
          <w:b/>
          <w:i w:val="0"/>
          <w:color w:val="1A1A2E"/>
          <w:sz w:val="24"/>
        </w:rPr>
        <w:t>PENALTY ABATEMENT: ELIMINATING IRS PENALTIES</w:t>
      </w:r>
    </w:p>
    <w:p>
      <w:pPr>
        <w:spacing w:before="0" w:after="120"/>
        <w:jc w:val="both"/>
      </w:pPr>
      <w:r>
        <w:rPr>
          <w:rFonts w:ascii="Arial" w:hAnsi="Arial"/>
          <w:b w:val="0"/>
          <w:i w:val="0"/>
          <w:color w:val="000000"/>
          <w:sz w:val="21"/>
        </w:rPr>
        <w:t>The IRS assesses billions in penalties annually. Many of these penalties can be reduced or eliminated through formal abatement requests. You do not need an attorney to file these requests.</w:t>
      </w:r>
    </w:p>
    <w:p>
      <w:pPr>
        <w:spacing w:before="200" w:after="60"/>
        <w:jc w:val="left"/>
      </w:pPr>
      <w:r>
        <w:rPr>
          <w:rFonts w:ascii="Arial" w:hAnsi="Arial"/>
          <w:b/>
          <w:i w:val="0"/>
          <w:color w:val="222244"/>
          <w:sz w:val="22"/>
        </w:rPr>
        <w:t>First-Time Penalty Abatement</w:t>
      </w:r>
    </w:p>
    <w:p>
      <w:pPr>
        <w:spacing w:before="0" w:after="120"/>
        <w:jc w:val="both"/>
      </w:pPr>
      <w:r>
        <w:rPr>
          <w:rFonts w:ascii="Arial" w:hAnsi="Arial"/>
          <w:b w:val="0"/>
          <w:i w:val="0"/>
          <w:color w:val="000000"/>
          <w:sz w:val="21"/>
        </w:rPr>
        <w:t>If you have a clean compliance history for the three years prior to the year at issue, you are eligible for first-time penalty abatement as a matter of IRS administrative policy. This is not in the Internal Revenue Code — it is an IRS policy, which means the IRS has discretion but routinely grants it for qualifying taxpayers.</w:t>
      </w:r>
    </w:p>
    <w:p>
      <w:pPr>
        <w:spacing w:before="80" w:after="40"/>
        <w:ind w:left="288"/>
        <w:jc w:val="left"/>
      </w:pPr>
      <w:r>
        <w:rPr>
          <w:rFonts w:ascii="Arial" w:hAnsi="Arial"/>
          <w:b/>
          <w:i w:val="0"/>
          <w:color w:val="004D00"/>
          <w:sz w:val="20"/>
        </w:rPr>
        <w:t xml:space="preserve">SAY OR WRITE THIS:  </w:t>
      </w:r>
      <w:r>
        <w:rPr>
          <w:rFonts w:ascii="Arial" w:hAnsi="Arial"/>
          <w:b w:val="0"/>
          <w:i/>
          <w:color w:val="222244"/>
          <w:sz w:val="21"/>
        </w:rPr>
        <w:t>I am requesting first-time penalty abatement pursuant to IRM section 20.1.1.3.6.1. I have been compliant for the three prior tax years and this is my first penalty. I request that all penalties assessed for tax year [YEAR] be abated.</w:t>
      </w:r>
    </w:p>
    <w:p>
      <w:pPr>
        <w:spacing w:before="200" w:after="60"/>
        <w:jc w:val="left"/>
      </w:pPr>
      <w:r>
        <w:rPr>
          <w:rFonts w:ascii="Arial" w:hAnsi="Arial"/>
          <w:b/>
          <w:i w:val="0"/>
          <w:color w:val="222244"/>
          <w:sz w:val="22"/>
        </w:rPr>
        <w:t>Reasonable Cause Abatement</w:t>
      </w:r>
    </w:p>
    <w:p>
      <w:pPr>
        <w:spacing w:before="0" w:after="80"/>
        <w:jc w:val="both"/>
      </w:pPr>
      <w:r>
        <w:rPr>
          <w:rFonts w:ascii="Arial" w:hAnsi="Arial"/>
          <w:b w:val="0"/>
          <w:i w:val="0"/>
          <w:color w:val="000000"/>
          <w:sz w:val="21"/>
        </w:rPr>
        <w:t>Penalties may be abated for any year where you can demonstrate reasonable cause and good faith. Reasonable cause includes:</w:t>
      </w:r>
    </w:p>
    <w:p>
      <w:pPr>
        <w:pStyle w:val="ListBullet"/>
        <w:spacing w:after="60"/>
        <w:ind w:left="576"/>
      </w:pPr>
      <w:r>
        <w:rPr>
          <w:rFonts w:ascii="Arial" w:hAnsi="Arial"/>
          <w:sz w:val="21"/>
        </w:rPr>
        <w:t>Serious illness, death in the family, or other circumstances beyond your control.</w:t>
      </w:r>
    </w:p>
    <w:p>
      <w:pPr>
        <w:pStyle w:val="ListBullet"/>
        <w:spacing w:after="60"/>
        <w:ind w:left="576"/>
      </w:pPr>
      <w:r>
        <w:rPr>
          <w:rFonts w:ascii="Arial" w:hAnsi="Arial"/>
          <w:sz w:val="21"/>
        </w:rPr>
        <w:t>Reliance on the advice of a qualified tax professional who gave incorrect advice.</w:t>
      </w:r>
    </w:p>
    <w:p>
      <w:pPr>
        <w:pStyle w:val="ListBullet"/>
        <w:spacing w:after="60"/>
        <w:ind w:left="576"/>
      </w:pPr>
      <w:r>
        <w:rPr>
          <w:rFonts w:ascii="Arial" w:hAnsi="Arial"/>
          <w:sz w:val="21"/>
        </w:rPr>
        <w:t>Natural disaster, fire, or casualty that destroyed your records.</w:t>
      </w:r>
    </w:p>
    <w:p>
      <w:pPr>
        <w:pStyle w:val="ListBullet"/>
        <w:spacing w:after="60"/>
        <w:ind w:left="576"/>
      </w:pPr>
      <w:r>
        <w:rPr>
          <w:rFonts w:ascii="Arial" w:hAnsi="Arial"/>
          <w:sz w:val="21"/>
        </w:rPr>
        <w:t>Inability to obtain records necessary to determine tax liability.</w:t>
      </w:r>
    </w:p>
    <w:p>
      <w:pPr>
        <w:pStyle w:val="ListBullet"/>
        <w:spacing w:after="60"/>
        <w:ind w:left="576"/>
      </w:pPr>
      <w:r>
        <w:rPr>
          <w:rFonts w:ascii="Arial" w:hAnsi="Arial"/>
          <w:sz w:val="21"/>
        </w:rPr>
        <w:t>Erroneous written advice from the IRS itself. 26 U.S.C. section 6404(f).</w:t>
      </w:r>
    </w:p>
    <w:p>
      <w:pPr>
        <w:spacing w:before="40" w:after="80"/>
        <w:ind w:left="432" w:right="432"/>
        <w:jc w:val="both"/>
      </w:pPr>
      <w:r>
        <w:rPr>
          <w:rFonts w:ascii="Arial" w:hAnsi="Arial"/>
          <w:b/>
          <w:i w:val="0"/>
          <w:color w:val="555577"/>
          <w:sz w:val="19"/>
        </w:rPr>
        <w:t xml:space="preserve">Legal Basis: </w:t>
      </w:r>
      <w:r>
        <w:rPr>
          <w:rFonts w:ascii="Arial" w:hAnsi="Arial"/>
          <w:b w:val="0"/>
          <w:i/>
          <w:color w:val="555577"/>
          <w:sz w:val="19"/>
        </w:rPr>
        <w:t>26 U.S.C. section 6651(a): Failure to file and failure to pay penalties. 26 U.S.C. section 6662: Accuracy-related penalties. 26 U.S.C. section 6404: IRS authority to abate penalties. United States v. Boyle, 469 U.S. 241 (1985): Reasonable cause standard for penalty abatement.</w:t>
      </w:r>
    </w:p>
    <w:p>
      <w:pPr>
        <w:spacing w:before="120" w:after="120"/>
        <w:jc w:val="center"/>
        <w:pBdr>
          <w:bottom w:val="single" w:sz="4" w:space="1" w:color="1a1a2e"/>
        </w:pBdr>
      </w:pPr>
    </w:p>
    <w:p>
      <w:pPr>
        <w:spacing w:before="280" w:after="80"/>
        <w:jc w:val="left"/>
        <w:pBdr>
          <w:bottom w:val="single" w:sz="4" w:space="1" w:color="1a1a2e"/>
        </w:pBdr>
      </w:pPr>
      <w:r>
        <w:rPr>
          <w:rFonts w:ascii="Arial" w:hAnsi="Arial"/>
          <w:b/>
          <w:i w:val="0"/>
          <w:color w:val="1A1A2E"/>
          <w:sz w:val="24"/>
        </w:rPr>
        <w:t>THE RFRA AND SPIRITUAL ECONOMY ARGUMENT IN TAX DISPUTES</w:t>
      </w:r>
    </w:p>
    <w:p>
      <w:pPr>
        <w:spacing w:before="0" w:after="120"/>
        <w:jc w:val="both"/>
      </w:pPr>
      <w:r>
        <w:rPr>
          <w:rFonts w:ascii="Arial" w:hAnsi="Arial"/>
          <w:b w:val="0"/>
          <w:i w:val="0"/>
          <w:color w:val="000000"/>
          <w:sz w:val="21"/>
        </w:rPr>
        <w:t>This argument is advanced and should be used strategically. It is not a substitute for the procedural rights set out above. It is an additional layer of defense rooted in the Doctrine of Pre-Political Sovereign Being.</w:t>
      </w:r>
    </w:p>
    <w:p>
      <w:pPr>
        <w:spacing w:before="200" w:after="60"/>
        <w:jc w:val="left"/>
      </w:pPr>
      <w:r>
        <w:rPr>
          <w:rFonts w:ascii="Arial" w:hAnsi="Arial"/>
          <w:b/>
          <w:i w:val="0"/>
          <w:color w:val="222244"/>
          <w:sz w:val="22"/>
        </w:rPr>
        <w:t>The Argument</w:t>
      </w:r>
    </w:p>
    <w:p>
      <w:pPr>
        <w:spacing w:before="0" w:after="120"/>
        <w:jc w:val="both"/>
      </w:pPr>
      <w:r>
        <w:rPr>
          <w:rFonts w:ascii="Arial" w:hAnsi="Arial"/>
          <w:b w:val="0"/>
          <w:i w:val="0"/>
          <w:color w:val="000000"/>
          <w:sz w:val="21"/>
        </w:rPr>
        <w:t>The sincerely held belief that the living being's labor and economic activity are expressions of divine creative energy, that the living being exists as an energetic sovereign whose economic participation constitutes a sacred act rather than a commercial transaction subject to unlimited State extraction, is a sincerely held religious belief documented across seven volumes of theological, philosophical, and scientific scholarship.</w:t>
      </w:r>
    </w:p>
    <w:p>
      <w:pPr>
        <w:spacing w:before="0" w:after="120"/>
        <w:jc w:val="both"/>
      </w:pPr>
      <w:r>
        <w:rPr>
          <w:rFonts w:ascii="Arial" w:hAnsi="Arial"/>
          <w:b w:val="0"/>
          <w:i w:val="0"/>
          <w:color w:val="000000"/>
          <w:sz w:val="21"/>
        </w:rPr>
        <w:t>Under the Religious Freedom Restoration Act, 42 U.S.C. section 2000bb et seq., any government action that substantially burdens this sincerely held belief must be justified by a compelling governmental interest pursued by the least restrictive means. Where the government's tax enforcement action is disproportionate, retaliatory, or targets the living being's religious or spiritual practice, this argument provides an independent basis for relief.</w:t>
      </w:r>
    </w:p>
    <w:p>
      <w:pPr>
        <w:spacing w:before="200" w:after="60"/>
        <w:jc w:val="left"/>
      </w:pPr>
      <w:r>
        <w:rPr>
          <w:rFonts w:ascii="Arial" w:hAnsi="Arial"/>
          <w:b/>
          <w:i w:val="0"/>
          <w:color w:val="222244"/>
          <w:sz w:val="22"/>
        </w:rPr>
        <w:t>Where This Argument Has Legal Traction</w:t>
      </w:r>
    </w:p>
    <w:p>
      <w:pPr>
        <w:pStyle w:val="ListBullet"/>
        <w:spacing w:after="60"/>
        <w:ind w:left="576"/>
      </w:pPr>
      <w:r>
        <w:rPr>
          <w:rFonts w:ascii="Arial" w:hAnsi="Arial"/>
          <w:sz w:val="21"/>
        </w:rPr>
        <w:t>Where IRS enforcement action specifically targets income derived from religious ministry, spiritual practice, or sacred creative work.</w:t>
      </w:r>
    </w:p>
    <w:p>
      <w:pPr>
        <w:pStyle w:val="ListBullet"/>
        <w:spacing w:after="60"/>
        <w:ind w:left="576"/>
      </w:pPr>
      <w:r>
        <w:rPr>
          <w:rFonts w:ascii="Arial" w:hAnsi="Arial"/>
          <w:sz w:val="21"/>
        </w:rPr>
        <w:t>Where IRS enforcement disproportionately burdens a religious community or tradition.</w:t>
      </w:r>
    </w:p>
    <w:p>
      <w:pPr>
        <w:pStyle w:val="ListBullet"/>
        <w:spacing w:after="60"/>
        <w:ind w:left="576"/>
      </w:pPr>
      <w:r>
        <w:rPr>
          <w:rFonts w:ascii="Arial" w:hAnsi="Arial"/>
          <w:sz w:val="21"/>
        </w:rPr>
        <w:t>Where mandatory participation in a government program requires conduct that violates sincerely held religious belief.</w:t>
      </w:r>
    </w:p>
    <w:p>
      <w:pPr>
        <w:pStyle w:val="ListBullet"/>
        <w:spacing w:after="60"/>
        <w:ind w:left="576"/>
      </w:pPr>
      <w:r>
        <w:rPr>
          <w:rFonts w:ascii="Arial" w:hAnsi="Arial"/>
          <w:sz w:val="21"/>
        </w:rPr>
        <w:t>Where the penalty or assessment rests on IRS interpretation of ambiguous statutory language, triggering Loper Bright independent review.</w:t>
      </w:r>
    </w:p>
    <w:p>
      <w:pPr>
        <w:spacing w:before="80" w:after="80"/>
        <w:ind w:left="288"/>
        <w:jc w:val="both"/>
      </w:pPr>
      <w:r>
        <w:rPr>
          <w:rFonts w:ascii="Arial" w:hAnsi="Arial"/>
          <w:b/>
          <w:i w:val="0"/>
          <w:color w:val="8B0000"/>
          <w:sz w:val="21"/>
        </w:rPr>
        <w:t xml:space="preserve">IMPORTANT: </w:t>
      </w:r>
      <w:r>
        <w:rPr>
          <w:rFonts w:ascii="Arial" w:hAnsi="Arial"/>
          <w:b w:val="0"/>
          <w:i w:val="0"/>
          <w:color w:val="000000"/>
          <w:sz w:val="21"/>
        </w:rPr>
        <w:t>This argument does not exempt income from taxation. The Supreme Court has consistently held that general, neutral tax laws do not violate the First Amendment or RFRA merely because a taxpayer objects to them on religious grounds. United States v. Lee, 455 U.S. 252 (1982). This argument is strongest where the enforcement action specifically targets religious practice or where agency interpretation of ambiguous law is at issue.</w:t>
      </w:r>
    </w:p>
    <w:p>
      <w:pPr>
        <w:spacing w:before="120" w:after="120"/>
        <w:jc w:val="center"/>
        <w:pBdr>
          <w:bottom w:val="single" w:sz="4" w:space="1" w:color="1a1a2e"/>
        </w:pBdr>
      </w:pPr>
    </w:p>
    <w:p>
      <w:r>
        <w:br w:type="page"/>
      </w:r>
    </w:p>
    <w:p>
      <w:pPr>
        <w:spacing w:before="0" w:after="80"/>
        <w:jc w:val="center"/>
      </w:pPr>
      <w:r>
        <w:rPr>
          <w:rFonts w:ascii="Arial" w:hAnsi="Arial"/>
          <w:b/>
          <w:i w:val="0"/>
          <w:color w:val="1A1A2E"/>
          <w:sz w:val="26"/>
        </w:rPr>
        <w:t>PART TWO</w:t>
      </w:r>
    </w:p>
    <w:p>
      <w:pPr>
        <w:spacing w:before="0" w:after="120"/>
        <w:jc w:val="center"/>
      </w:pPr>
      <w:r>
        <w:rPr>
          <w:rFonts w:ascii="Arial" w:hAnsi="Arial"/>
          <w:b/>
          <w:i w:val="0"/>
          <w:color w:val="222244"/>
          <w:sz w:val="22"/>
        </w:rPr>
        <w:t>LABOR AND WAGE RIGHTS: DEFENDING AGAINST ECONOMIC EXTRACTION</w:t>
      </w:r>
    </w:p>
    <w:p>
      <w:pPr>
        <w:spacing w:before="280" w:after="80"/>
        <w:jc w:val="left"/>
        <w:pBdr>
          <w:bottom w:val="single" w:sz="4" w:space="1" w:color="1a1a2e"/>
        </w:pBdr>
      </w:pPr>
      <w:r>
        <w:rPr>
          <w:rFonts w:ascii="Arial" w:hAnsi="Arial"/>
          <w:b/>
          <w:i w:val="0"/>
          <w:color w:val="1A1A2E"/>
          <w:sz w:val="24"/>
        </w:rPr>
        <w:t>THE HISTORICAL FOUNDATION: WHY THIS ARGUMENT EXISTS</w:t>
      </w:r>
    </w:p>
    <w:p>
      <w:pPr>
        <w:spacing w:before="0" w:after="120"/>
        <w:jc w:val="both"/>
      </w:pPr>
      <w:r>
        <w:rPr>
          <w:rFonts w:ascii="Arial" w:hAnsi="Arial"/>
          <w:b w:val="0"/>
          <w:i w:val="0"/>
          <w:color w:val="000000"/>
          <w:sz w:val="21"/>
        </w:rPr>
        <w:t>The economic exploitation of Black labor is not history. It is an ongoing structural reality with documented roots in chattel slavery, convict leasing, sharecropping, redlining, and the systematic exclusion of Black workers from the wealth-building mechanisms available to white Americans. The Thirteenth Amendment abolished formal slavery but preserved forced labor as punishment for crime. That exception was immediately exploited through Black Codes and convict leasing, which continued in various forms through the mid-twentieth century and persist in the prison labor system today.</w:t>
      </w:r>
    </w:p>
    <w:p>
      <w:pPr>
        <w:spacing w:before="0" w:after="120"/>
        <w:jc w:val="both"/>
      </w:pPr>
      <w:r>
        <w:rPr>
          <w:rFonts w:ascii="Arial" w:hAnsi="Arial"/>
          <w:b w:val="0"/>
          <w:i w:val="0"/>
          <w:color w:val="000000"/>
          <w:sz w:val="21"/>
        </w:rPr>
        <w:t>The Supreme Court recognized in Jones v. Alfred H. Mayer Co., 392 U.S. 409 (1968), that Congress has the power to address the badges and incidents of slavery, the ongoing structural marks of that institution in American economic life. This is not a historical argument. It is a living constitutional doctrine with direct application to present-day wage theft, discriminatory hiring, discriminatory pay, and the systemic exclusion of Black workers from economic opportunity.</w:t>
      </w:r>
    </w:p>
    <w:p>
      <w:pPr>
        <w:spacing w:before="120" w:after="120"/>
        <w:jc w:val="center"/>
        <w:pBdr>
          <w:bottom w:val="single" w:sz="4" w:space="1" w:color="1a1a2e"/>
        </w:pBdr>
      </w:pPr>
    </w:p>
    <w:p>
      <w:pPr>
        <w:spacing w:before="280" w:after="80"/>
        <w:jc w:val="left"/>
        <w:pBdr>
          <w:bottom w:val="single" w:sz="4" w:space="1" w:color="1a1a2e"/>
        </w:pBdr>
      </w:pPr>
      <w:r>
        <w:rPr>
          <w:rFonts w:ascii="Arial" w:hAnsi="Arial"/>
          <w:b/>
          <w:i w:val="0"/>
          <w:color w:val="1A1A2E"/>
          <w:sz w:val="24"/>
        </w:rPr>
        <w:t>WAGE THEFT: WHAT IT IS AND WHAT TO DO</w:t>
      </w:r>
    </w:p>
    <w:p>
      <w:pPr>
        <w:spacing w:before="0" w:after="120"/>
        <w:jc w:val="both"/>
      </w:pPr>
      <w:r>
        <w:rPr>
          <w:rFonts w:ascii="Arial" w:hAnsi="Arial"/>
          <w:b w:val="0"/>
          <w:i w:val="0"/>
          <w:color w:val="000000"/>
          <w:sz w:val="21"/>
        </w:rPr>
        <w:t>Wage theft is the most common form of labor exploitation in the United States. It takes many forms, most of which are clearly illegal under federal and Georgia state law.</w:t>
      </w:r>
    </w:p>
    <w:p>
      <w:pPr>
        <w:spacing w:before="200" w:after="60"/>
        <w:jc w:val="left"/>
      </w:pPr>
      <w:r>
        <w:rPr>
          <w:rFonts w:ascii="Arial" w:hAnsi="Arial"/>
          <w:b/>
          <w:i w:val="0"/>
          <w:color w:val="222244"/>
          <w:sz w:val="22"/>
        </w:rPr>
        <w:t>Forms of Wage Theft</w:t>
      </w:r>
    </w:p>
    <w:p>
      <w:pPr>
        <w:pStyle w:val="ListBullet"/>
        <w:spacing w:after="60"/>
        <w:ind w:left="576"/>
      </w:pPr>
      <w:r>
        <w:rPr>
          <w:rFonts w:ascii="Arial" w:hAnsi="Arial"/>
          <w:sz w:val="21"/>
        </w:rPr>
        <w:t>Failure to pay minimum wage: The federal minimum wage is $7.25 per hour. Georgia's minimum wage is $5.15 per hour but federal law applies, so $7.25 is the floor for most workers.</w:t>
      </w:r>
    </w:p>
    <w:p>
      <w:pPr>
        <w:pStyle w:val="ListBullet"/>
        <w:spacing w:after="60"/>
        <w:ind w:left="576"/>
      </w:pPr>
      <w:r>
        <w:rPr>
          <w:rFonts w:ascii="Arial" w:hAnsi="Arial"/>
          <w:sz w:val="21"/>
        </w:rPr>
        <w:t>Failure to pay overtime: For most workers, any hours over 40 in a workweek must be paid at 1.5 times the regular rate. This is federal law.</w:t>
      </w:r>
    </w:p>
    <w:p>
      <w:pPr>
        <w:pStyle w:val="ListBullet"/>
        <w:spacing w:after="60"/>
        <w:ind w:left="576"/>
      </w:pPr>
      <w:r>
        <w:rPr>
          <w:rFonts w:ascii="Arial" w:hAnsi="Arial"/>
          <w:sz w:val="21"/>
        </w:rPr>
        <w:t>Misclassification as an independent contractor: Calling you a contractor when the work relationship is actually employment denies you minimum wage, overtime, and benefits protections.</w:t>
      </w:r>
    </w:p>
    <w:p>
      <w:pPr>
        <w:pStyle w:val="ListBullet"/>
        <w:spacing w:after="60"/>
        <w:ind w:left="576"/>
      </w:pPr>
      <w:r>
        <w:rPr>
          <w:rFonts w:ascii="Arial" w:hAnsi="Arial"/>
          <w:sz w:val="21"/>
        </w:rPr>
        <w:t>Unpaid off-the-clock work: If your employer requires you to work before clocking in, after clocking out, or during unpaid breaks, that time must be compensated.</w:t>
      </w:r>
    </w:p>
    <w:p>
      <w:pPr>
        <w:pStyle w:val="ListBullet"/>
        <w:spacing w:after="60"/>
        <w:ind w:left="576"/>
      </w:pPr>
      <w:r>
        <w:rPr>
          <w:rFonts w:ascii="Arial" w:hAnsi="Arial"/>
          <w:sz w:val="21"/>
        </w:rPr>
        <w:t>Illegal deductions: Deductions from your paycheck that bring your effective hourly rate below minimum wage are illegal.</w:t>
      </w:r>
    </w:p>
    <w:p>
      <w:pPr>
        <w:pStyle w:val="ListBullet"/>
        <w:spacing w:after="60"/>
        <w:ind w:left="576"/>
      </w:pPr>
      <w:r>
        <w:rPr>
          <w:rFonts w:ascii="Arial" w:hAnsi="Arial"/>
          <w:sz w:val="21"/>
        </w:rPr>
        <w:t>Tip theft: Employers and managers may not take tips from tipped employees.</w:t>
      </w:r>
    </w:p>
    <w:p>
      <w:pPr>
        <w:spacing w:before="200" w:after="60"/>
        <w:jc w:val="left"/>
      </w:pPr>
      <w:r>
        <w:rPr>
          <w:rFonts w:ascii="Arial" w:hAnsi="Arial"/>
          <w:b/>
          <w:i w:val="0"/>
          <w:color w:val="222244"/>
          <w:sz w:val="22"/>
        </w:rPr>
        <w:t>What to Do When Your Wages Are Stolen</w:t>
      </w:r>
    </w:p>
    <w:p>
      <w:pPr>
        <w:spacing w:before="100" w:after="60"/>
        <w:jc w:val="both"/>
      </w:pPr>
      <w:r>
        <w:rPr>
          <w:rFonts w:ascii="Arial" w:hAnsi="Arial"/>
          <w:b/>
          <w:i w:val="0"/>
          <w:color w:val="222244"/>
          <w:sz w:val="21"/>
        </w:rPr>
        <w:t xml:space="preserve">Step 1: Document everything.  </w:t>
      </w:r>
      <w:r>
        <w:rPr>
          <w:rFonts w:ascii="Arial" w:hAnsi="Arial"/>
          <w:b w:val="0"/>
          <w:i w:val="0"/>
          <w:color w:val="000000"/>
          <w:sz w:val="21"/>
        </w:rPr>
        <w:t>Keep records of every hour you work. Keep copies of pay stubs, time records, and any written communications about your pay. If your employer does not give you pay stubs, request them in writing.</w:t>
      </w:r>
    </w:p>
    <w:p>
      <w:pPr>
        <w:spacing w:before="100" w:after="60"/>
        <w:jc w:val="both"/>
      </w:pPr>
      <w:r>
        <w:rPr>
          <w:rFonts w:ascii="Arial" w:hAnsi="Arial"/>
          <w:b/>
          <w:i w:val="0"/>
          <w:color w:val="222244"/>
          <w:sz w:val="21"/>
        </w:rPr>
        <w:t xml:space="preserve">Step 2: File a complaint with the U.S. Department of Labor Wage and Hour Division.  </w:t>
      </w:r>
      <w:r>
        <w:rPr>
          <w:rFonts w:ascii="Arial" w:hAnsi="Arial"/>
          <w:b w:val="0"/>
          <w:i w:val="0"/>
          <w:color w:val="000000"/>
          <w:sz w:val="21"/>
        </w:rPr>
        <w:t>The WHD investigates wage violations and can recover back wages and liquidated damages at no cost to you. File online at dol.gov or call 1-866-487-9243. The statute of limitations is two years for regular violations and three years for willful violations.</w:t>
      </w:r>
    </w:p>
    <w:p>
      <w:pPr>
        <w:spacing w:before="100" w:after="60"/>
        <w:jc w:val="both"/>
      </w:pPr>
      <w:r>
        <w:rPr>
          <w:rFonts w:ascii="Arial" w:hAnsi="Arial"/>
          <w:b/>
          <w:i w:val="0"/>
          <w:color w:val="222244"/>
          <w:sz w:val="21"/>
        </w:rPr>
        <w:t xml:space="preserve">Step 3: File a complaint with the Georgia Department of Labor.  </w:t>
      </w:r>
      <w:r>
        <w:rPr>
          <w:rFonts w:ascii="Arial" w:hAnsi="Arial"/>
          <w:b w:val="0"/>
          <w:i w:val="0"/>
          <w:color w:val="000000"/>
          <w:sz w:val="21"/>
        </w:rPr>
        <w:t>For state-level wage claims. The Georgia Department of Labor enforces state wage payment laws.</w:t>
      </w:r>
    </w:p>
    <w:p>
      <w:pPr>
        <w:spacing w:before="100" w:after="60"/>
        <w:jc w:val="both"/>
      </w:pPr>
      <w:r>
        <w:rPr>
          <w:rFonts w:ascii="Arial" w:hAnsi="Arial"/>
          <w:b/>
          <w:i w:val="0"/>
          <w:color w:val="222244"/>
          <w:sz w:val="21"/>
        </w:rPr>
        <w:t xml:space="preserve">Step 4: File a private lawsuit.  </w:t>
      </w:r>
      <w:r>
        <w:rPr>
          <w:rFonts w:ascii="Arial" w:hAnsi="Arial"/>
          <w:b w:val="0"/>
          <w:i w:val="0"/>
          <w:color w:val="000000"/>
          <w:sz w:val="21"/>
        </w:rPr>
        <w:t>Under the Fair Labor Standards Act, 29 U.S.C. section 216(b), you can sue your employer directly for unpaid wages plus an equal amount in liquidated damages plus attorney fees. Many employment attorneys take these cases on contingency.</w:t>
      </w:r>
    </w:p>
    <w:p>
      <w:pPr>
        <w:spacing w:before="100" w:after="60"/>
        <w:jc w:val="both"/>
      </w:pPr>
      <w:r>
        <w:rPr>
          <w:rFonts w:ascii="Arial" w:hAnsi="Arial"/>
          <w:b/>
          <w:i w:val="0"/>
          <w:color w:val="222244"/>
          <w:sz w:val="21"/>
        </w:rPr>
        <w:t xml:space="preserve">Step 5: File a retaliation complaint if necessary.  </w:t>
      </w:r>
      <w:r>
        <w:rPr>
          <w:rFonts w:ascii="Arial" w:hAnsi="Arial"/>
          <w:b w:val="0"/>
          <w:i w:val="0"/>
          <w:color w:val="000000"/>
          <w:sz w:val="21"/>
        </w:rPr>
        <w:t>It is illegal for your employer to fire you, demote you, or otherwise retaliate against you for filing a wage complaint. 29 U.S.C. section 215(a)(3). If retaliation occurs, file an immediate retaliation complaint with the WHD.</w:t>
      </w:r>
    </w:p>
    <w:p>
      <w:pPr>
        <w:spacing w:before="40" w:after="80"/>
        <w:ind w:left="432" w:right="432"/>
        <w:jc w:val="both"/>
      </w:pPr>
      <w:r>
        <w:rPr>
          <w:rFonts w:ascii="Arial" w:hAnsi="Arial"/>
          <w:b/>
          <w:i w:val="0"/>
          <w:color w:val="555577"/>
          <w:sz w:val="19"/>
        </w:rPr>
        <w:t xml:space="preserve">Legal Basis: </w:t>
      </w:r>
      <w:r>
        <w:rPr>
          <w:rFonts w:ascii="Arial" w:hAnsi="Arial"/>
          <w:b w:val="0"/>
          <w:i/>
          <w:color w:val="555577"/>
          <w:sz w:val="19"/>
        </w:rPr>
        <w:t>Fair Labor Standards Act, 29 U.S.C. sections 201 et seq.: Minimum wage and overtime requirements. O.C.G.A. section 34-7-2: Georgia Wage Payment Act. Anderson v. Mt. Clemens Pottery Co., 328 U.S. 680 (1946): Where employer records are inadequate, the employee's reasonable estimate of hours worked shifts the burden to the employer to disprove.</w:t>
      </w:r>
    </w:p>
    <w:p>
      <w:pPr>
        <w:spacing w:before="120" w:after="120"/>
        <w:jc w:val="center"/>
        <w:pBdr>
          <w:bottom w:val="single" w:sz="4" w:space="1" w:color="1a1a2e"/>
        </w:pBdr>
      </w:pPr>
    </w:p>
    <w:p>
      <w:pPr>
        <w:spacing w:before="280" w:after="80"/>
        <w:jc w:val="left"/>
        <w:pBdr>
          <w:bottom w:val="single" w:sz="4" w:space="1" w:color="1a1a2e"/>
        </w:pBdr>
      </w:pPr>
      <w:r>
        <w:rPr>
          <w:rFonts w:ascii="Arial" w:hAnsi="Arial"/>
          <w:b/>
          <w:i w:val="0"/>
          <w:color w:val="1A1A2E"/>
          <w:sz w:val="24"/>
        </w:rPr>
        <w:t>RACIAL DISCRIMINATION IN EMPLOYMENT</w:t>
      </w:r>
    </w:p>
    <w:p>
      <w:pPr>
        <w:spacing w:before="0" w:after="120"/>
        <w:jc w:val="both"/>
      </w:pPr>
      <w:r>
        <w:rPr>
          <w:rFonts w:ascii="Arial" w:hAnsi="Arial"/>
          <w:b w:val="0"/>
          <w:i w:val="0"/>
          <w:color w:val="000000"/>
          <w:sz w:val="21"/>
        </w:rPr>
        <w:t>Federal law prohibits racial discrimination in every aspect of employment: hiring, firing, pay, job assignments, promotions, layoffs, training, and any other term or condition of employment. This protection applies to every employer with 15 or more employees.</w:t>
      </w:r>
    </w:p>
    <w:p>
      <w:pPr>
        <w:spacing w:before="200" w:after="60"/>
        <w:jc w:val="left"/>
      </w:pPr>
      <w:r>
        <w:rPr>
          <w:rFonts w:ascii="Arial" w:hAnsi="Arial"/>
          <w:b/>
          <w:i w:val="0"/>
          <w:color w:val="222244"/>
          <w:sz w:val="22"/>
        </w:rPr>
        <w:t>Your Rights Under Title VII</w:t>
      </w:r>
    </w:p>
    <w:p>
      <w:pPr>
        <w:spacing w:before="0" w:after="80"/>
        <w:jc w:val="both"/>
      </w:pPr>
      <w:r>
        <w:rPr>
          <w:rFonts w:ascii="Arial" w:hAnsi="Arial"/>
          <w:b w:val="0"/>
          <w:i w:val="0"/>
          <w:color w:val="000000"/>
          <w:sz w:val="21"/>
        </w:rPr>
        <w:t>Title VII of the Civil Rights Act of 1964, 42 U.S.C. sections 2000e et seq., prohibits discrimination based on race, color, religion, sex, or national origin. Under Title VII you are protected against:</w:t>
      </w:r>
    </w:p>
    <w:p>
      <w:pPr>
        <w:pStyle w:val="ListBullet"/>
        <w:spacing w:after="60"/>
        <w:ind w:left="576"/>
      </w:pPr>
      <w:r>
        <w:rPr>
          <w:rFonts w:ascii="Arial" w:hAnsi="Arial"/>
          <w:sz w:val="21"/>
        </w:rPr>
        <w:t>Disparate treatment: being treated differently than similarly situated employees of a different race.</w:t>
      </w:r>
    </w:p>
    <w:p>
      <w:pPr>
        <w:pStyle w:val="ListBullet"/>
        <w:spacing w:after="60"/>
        <w:ind w:left="576"/>
      </w:pPr>
      <w:r>
        <w:rPr>
          <w:rFonts w:ascii="Arial" w:hAnsi="Arial"/>
          <w:sz w:val="21"/>
        </w:rPr>
        <w:t>Disparate impact: a facially neutral policy that disproportionately harms employees of a particular race and is not justified by business necessity.</w:t>
      </w:r>
    </w:p>
    <w:p>
      <w:pPr>
        <w:pStyle w:val="ListBullet"/>
        <w:spacing w:after="60"/>
        <w:ind w:left="576"/>
      </w:pPr>
      <w:r>
        <w:rPr>
          <w:rFonts w:ascii="Arial" w:hAnsi="Arial"/>
          <w:sz w:val="21"/>
        </w:rPr>
        <w:t>Hostile work environment: severe or pervasive racial harassment that creates an abusive working environment.</w:t>
      </w:r>
    </w:p>
    <w:p>
      <w:pPr>
        <w:pStyle w:val="ListBullet"/>
        <w:spacing w:after="60"/>
        <w:ind w:left="576"/>
      </w:pPr>
      <w:r>
        <w:rPr>
          <w:rFonts w:ascii="Arial" w:hAnsi="Arial"/>
          <w:sz w:val="21"/>
        </w:rPr>
        <w:t>Retaliation for opposing discrimination or participating in a Title VII proceeding.</w:t>
      </w:r>
    </w:p>
    <w:p>
      <w:pPr>
        <w:spacing w:before="200" w:after="60"/>
        <w:jc w:val="left"/>
      </w:pPr>
      <w:r>
        <w:rPr>
          <w:rFonts w:ascii="Arial" w:hAnsi="Arial"/>
          <w:b/>
          <w:i w:val="0"/>
          <w:color w:val="222244"/>
          <w:sz w:val="22"/>
        </w:rPr>
        <w:t>Your Rights Under Section 1981</w:t>
      </w:r>
    </w:p>
    <w:p>
      <w:pPr>
        <w:spacing w:before="0" w:after="120"/>
        <w:jc w:val="both"/>
      </w:pPr>
      <w:r>
        <w:rPr>
          <w:rFonts w:ascii="Arial" w:hAnsi="Arial"/>
          <w:b w:val="0"/>
          <w:i w:val="0"/>
          <w:color w:val="000000"/>
          <w:sz w:val="21"/>
        </w:rPr>
        <w:t>42 U.S.C. section 1981, enacted under the Thirteenth Amendment, prohibits racial discrimination in the making and enforcement of contracts, including employment contracts. Section 1981 is broader than Title VII in important ways: it applies to employers of all sizes, has no administrative exhaustion requirement, and has a four-year statute of limitations. Where you have both a Title VII and a section 1981 claim, assert both.</w:t>
      </w:r>
    </w:p>
    <w:p>
      <w:pPr>
        <w:spacing w:before="200" w:after="60"/>
        <w:jc w:val="left"/>
      </w:pPr>
      <w:r>
        <w:rPr>
          <w:rFonts w:ascii="Arial" w:hAnsi="Arial"/>
          <w:b/>
          <w:i w:val="0"/>
          <w:color w:val="222244"/>
          <w:sz w:val="22"/>
        </w:rPr>
        <w:t>The EEOC Process: What You Must Know</w:t>
      </w:r>
    </w:p>
    <w:p>
      <w:pPr>
        <w:spacing w:before="0" w:after="120"/>
        <w:jc w:val="both"/>
      </w:pPr>
      <w:r>
        <w:rPr>
          <w:rFonts w:ascii="Arial" w:hAnsi="Arial"/>
          <w:b w:val="0"/>
          <w:i w:val="0"/>
          <w:color w:val="000000"/>
          <w:sz w:val="21"/>
        </w:rPr>
        <w:t>Before filing a federal lawsuit under Title VII, you must file a charge of discrimination with the Equal Employment Opportunity Commission. You must file within 180 days of the discriminatory act, or within 300 days if a state agency also has jurisdiction. In Georgia, the 300-day deadline applies because the Georgia Commission on Equal Opportunity has jurisdiction.</w:t>
      </w:r>
    </w:p>
    <w:p>
      <w:pPr>
        <w:spacing w:before="80" w:after="40"/>
        <w:ind w:left="288"/>
        <w:jc w:val="left"/>
      </w:pPr>
      <w:r>
        <w:rPr>
          <w:rFonts w:ascii="Arial" w:hAnsi="Arial"/>
          <w:b/>
          <w:i w:val="0"/>
          <w:color w:val="004D00"/>
          <w:sz w:val="20"/>
        </w:rPr>
        <w:t xml:space="preserve">FILE THIS:  </w:t>
      </w:r>
      <w:r>
        <w:rPr>
          <w:rFonts w:ascii="Arial" w:hAnsi="Arial"/>
          <w:b w:val="0"/>
          <w:i/>
          <w:color w:val="222244"/>
          <w:sz w:val="21"/>
        </w:rPr>
        <w:t>A charge of discrimination with the EEOC. File online at eeoc.gov, by phone at 1-800-669-4000, or in person at the EEOC Atlanta District Office, 100 Alabama Street SW, Suite 4R30, Atlanta, Georgia 30303.</w:t>
      </w:r>
    </w:p>
    <w:p>
      <w:pPr>
        <w:spacing w:before="80" w:after="80"/>
        <w:ind w:left="288"/>
        <w:jc w:val="both"/>
      </w:pPr>
      <w:r>
        <w:rPr>
          <w:rFonts w:ascii="Arial" w:hAnsi="Arial"/>
          <w:b/>
          <w:i w:val="0"/>
          <w:color w:val="8B0000"/>
          <w:sz w:val="21"/>
        </w:rPr>
        <w:t xml:space="preserve">IMPORTANT: </w:t>
      </w:r>
      <w:r>
        <w:rPr>
          <w:rFonts w:ascii="Arial" w:hAnsi="Arial"/>
          <w:b w:val="0"/>
          <w:i w:val="0"/>
          <w:color w:val="000000"/>
          <w:sz w:val="21"/>
        </w:rPr>
        <w:t>Do not miss the 180/300-day deadline. This deadline is strictly enforced and missing it will bar your Title VII claim. File as soon as you believe discrimination has occurred, even if you are still employed.</w:t>
      </w:r>
    </w:p>
    <w:p>
      <w:pPr>
        <w:spacing w:before="40" w:after="80"/>
        <w:ind w:left="432" w:right="432"/>
        <w:jc w:val="both"/>
      </w:pPr>
      <w:r>
        <w:rPr>
          <w:rFonts w:ascii="Arial" w:hAnsi="Arial"/>
          <w:b/>
          <w:i w:val="0"/>
          <w:color w:val="555577"/>
          <w:sz w:val="19"/>
        </w:rPr>
        <w:t xml:space="preserve">Legal Basis: </w:t>
      </w:r>
      <w:r>
        <w:rPr>
          <w:rFonts w:ascii="Arial" w:hAnsi="Arial"/>
          <w:b w:val="0"/>
          <w:i/>
          <w:color w:val="555577"/>
          <w:sz w:val="19"/>
        </w:rPr>
        <w:t>Title VII of the Civil Rights Act of 1964, 42 U.S.C. sections 2000e et seq. 42 U.S.C. section 1981: Equal rights under the law. McDonnell Douglas Corp. v. Green, 411 U.S. 792 (1973): The burden-shifting framework for employment discrimination claims. Griggs v. Duke Power Co., 401 U.S. 424 (1971): Disparate impact theory.</w:t>
      </w:r>
    </w:p>
    <w:p>
      <w:pPr>
        <w:spacing w:before="120" w:after="120"/>
        <w:jc w:val="center"/>
        <w:pBdr>
          <w:bottom w:val="single" w:sz="4" w:space="1" w:color="1a1a2e"/>
        </w:pBdr>
      </w:pPr>
    </w:p>
    <w:p>
      <w:pPr>
        <w:spacing w:before="280" w:after="80"/>
        <w:jc w:val="left"/>
        <w:pBdr>
          <w:bottom w:val="single" w:sz="4" w:space="1" w:color="1a1a2e"/>
        </w:pBdr>
      </w:pPr>
      <w:r>
        <w:rPr>
          <w:rFonts w:ascii="Arial" w:hAnsi="Arial"/>
          <w:b/>
          <w:i w:val="0"/>
          <w:color w:val="1A1A2E"/>
          <w:sz w:val="24"/>
        </w:rPr>
        <w:t>THE BADGES AND INCIDENTS DOCTRINE: THE ECONOMIC SOVEREIGNTY CLAIM</w:t>
      </w:r>
    </w:p>
    <w:p>
      <w:pPr>
        <w:spacing w:before="0" w:after="120"/>
        <w:jc w:val="both"/>
      </w:pPr>
      <w:r>
        <w:rPr>
          <w:rFonts w:ascii="Arial" w:hAnsi="Arial"/>
          <w:b w:val="0"/>
          <w:i w:val="0"/>
          <w:color w:val="000000"/>
          <w:sz w:val="21"/>
        </w:rPr>
        <w:t>This section presents the most advanced argument in this toolkit. It is grounded in the Thirteenth Amendment, the badges and incidents doctrine, and the Doctrine of Pre-Political Sovereign Being. Use it in conjunction with the standard remedies above, not as a substitute for them.</w:t>
      </w:r>
    </w:p>
    <w:p>
      <w:pPr>
        <w:spacing w:before="200" w:after="60"/>
        <w:jc w:val="left"/>
      </w:pPr>
      <w:r>
        <w:rPr>
          <w:rFonts w:ascii="Arial" w:hAnsi="Arial"/>
          <w:b/>
          <w:i w:val="0"/>
          <w:color w:val="222244"/>
          <w:sz w:val="22"/>
        </w:rPr>
        <w:t>The Core Argument</w:t>
      </w:r>
    </w:p>
    <w:p>
      <w:pPr>
        <w:spacing w:before="0" w:after="120"/>
        <w:jc w:val="both"/>
      </w:pPr>
      <w:r>
        <w:rPr>
          <w:rFonts w:ascii="Arial" w:hAnsi="Arial"/>
          <w:b w:val="0"/>
          <w:i w:val="0"/>
          <w:color w:val="000000"/>
          <w:sz w:val="21"/>
        </w:rPr>
        <w:t>The Thirteenth Amendment does not merely prohibit formal slavery. Under Jones v. Alfred H. Mayer Co., 392 U.S. 409 (1968), it empowers Congress to identify and eliminate all badges and incidents of slavery, the structural marks of that institution that continue to deprive the descendants of enslaved persons of economic equality.</w:t>
      </w:r>
    </w:p>
    <w:p>
      <w:pPr>
        <w:spacing w:before="0" w:after="120"/>
        <w:jc w:val="both"/>
      </w:pPr>
      <w:r>
        <w:rPr>
          <w:rFonts w:ascii="Arial" w:hAnsi="Arial"/>
          <w:b w:val="0"/>
          <w:i w:val="0"/>
          <w:color w:val="000000"/>
          <w:sz w:val="21"/>
        </w:rPr>
        <w:t>The following documented economic conditions constitute badges and incidents of slavery within the meaning of the Thirteenth Amendment:</w:t>
      </w:r>
    </w:p>
    <w:p>
      <w:pPr>
        <w:pStyle w:val="ListBullet"/>
        <w:spacing w:after="60"/>
        <w:ind w:left="576"/>
      </w:pPr>
      <w:r>
        <w:rPr>
          <w:rFonts w:ascii="Arial" w:hAnsi="Arial"/>
          <w:sz w:val="21"/>
        </w:rPr>
        <w:t>Systematic underpayment of Black workers in industries with documented histories of racial wage suppression.</w:t>
      </w:r>
    </w:p>
    <w:p>
      <w:pPr>
        <w:pStyle w:val="ListBullet"/>
        <w:spacing w:after="60"/>
        <w:ind w:left="576"/>
      </w:pPr>
      <w:r>
        <w:rPr>
          <w:rFonts w:ascii="Arial" w:hAnsi="Arial"/>
          <w:sz w:val="21"/>
        </w:rPr>
        <w:t>Exclusion from supervisory, managerial, and ownership positions through glass ceiling practices that perpetuate the economic hierarchy of the slave system.</w:t>
      </w:r>
    </w:p>
    <w:p>
      <w:pPr>
        <w:pStyle w:val="ListBullet"/>
        <w:spacing w:after="60"/>
        <w:ind w:left="576"/>
      </w:pPr>
      <w:r>
        <w:rPr>
          <w:rFonts w:ascii="Arial" w:hAnsi="Arial"/>
          <w:sz w:val="21"/>
        </w:rPr>
        <w:t>Predatory financial products targeted at Black consumers and workers that strip generational wealth.</w:t>
      </w:r>
    </w:p>
    <w:p>
      <w:pPr>
        <w:pStyle w:val="ListBullet"/>
        <w:spacing w:after="60"/>
        <w:ind w:left="576"/>
      </w:pPr>
      <w:r>
        <w:rPr>
          <w:rFonts w:ascii="Arial" w:hAnsi="Arial"/>
          <w:sz w:val="21"/>
        </w:rPr>
        <w:t>Prison labor: the use of incarcerated persons, disproportionately Black, to perform labor at below-market wages or no wages, explicitly permitted by the Thirteenth Amendment's punishment clause.</w:t>
      </w:r>
    </w:p>
    <w:p>
      <w:pPr>
        <w:pStyle w:val="ListBullet"/>
        <w:spacing w:after="60"/>
        <w:ind w:left="576"/>
      </w:pPr>
      <w:r>
        <w:rPr>
          <w:rFonts w:ascii="Arial" w:hAnsi="Arial"/>
          <w:sz w:val="21"/>
        </w:rPr>
        <w:t>Unpaid or underpaid domestic, agricultural, and service labor historically performed predominantly by Black workers.</w:t>
      </w:r>
    </w:p>
    <w:p>
      <w:pPr>
        <w:spacing w:before="200" w:after="60"/>
        <w:jc w:val="left"/>
      </w:pPr>
      <w:r>
        <w:rPr>
          <w:rFonts w:ascii="Arial" w:hAnsi="Arial"/>
          <w:b/>
          <w:i w:val="0"/>
          <w:color w:val="222244"/>
          <w:sz w:val="22"/>
        </w:rPr>
        <w:t>How to Use This Argument</w:t>
      </w:r>
    </w:p>
    <w:p>
      <w:pPr>
        <w:spacing w:before="0" w:after="80"/>
        <w:jc w:val="both"/>
      </w:pPr>
      <w:r>
        <w:rPr>
          <w:rFonts w:ascii="Arial" w:hAnsi="Arial"/>
          <w:b w:val="0"/>
          <w:i w:val="0"/>
          <w:color w:val="000000"/>
          <w:sz w:val="21"/>
        </w:rPr>
        <w:t>This argument is most powerful as an additional layer in litigation that already has strong Title VII or section 1981 claims. It provides:</w:t>
      </w:r>
    </w:p>
    <w:p>
      <w:pPr>
        <w:pStyle w:val="ListBullet"/>
        <w:spacing w:after="60"/>
        <w:ind w:left="576"/>
      </w:pPr>
      <w:r>
        <w:rPr>
          <w:rFonts w:ascii="Arial" w:hAnsi="Arial"/>
          <w:sz w:val="21"/>
        </w:rPr>
        <w:t>A historical and constitutional context that strengthens damages arguments.</w:t>
      </w:r>
    </w:p>
    <w:p>
      <w:pPr>
        <w:pStyle w:val="ListBullet"/>
        <w:spacing w:after="60"/>
        <w:ind w:left="576"/>
      </w:pPr>
      <w:r>
        <w:rPr>
          <w:rFonts w:ascii="Arial" w:hAnsi="Arial"/>
          <w:sz w:val="21"/>
        </w:rPr>
        <w:t>A basis for arguing that systemic and willful violations warrant punitive damages.</w:t>
      </w:r>
    </w:p>
    <w:p>
      <w:pPr>
        <w:pStyle w:val="ListBullet"/>
        <w:spacing w:after="60"/>
        <w:ind w:left="576"/>
      </w:pPr>
      <w:r>
        <w:rPr>
          <w:rFonts w:ascii="Arial" w:hAnsi="Arial"/>
          <w:sz w:val="21"/>
        </w:rPr>
        <w:t>A framework for class action litigation where a pattern of economic exploitation affects a defined group.</w:t>
      </w:r>
    </w:p>
    <w:p>
      <w:pPr>
        <w:pStyle w:val="ListBullet"/>
        <w:spacing w:after="60"/>
        <w:ind w:left="576"/>
      </w:pPr>
      <w:r>
        <w:rPr>
          <w:rFonts w:ascii="Arial" w:hAnsi="Arial"/>
          <w:sz w:val="21"/>
        </w:rPr>
        <w:t>A basis for petition to international human rights bodies where domestic remedies are inadequate.</w:t>
      </w:r>
    </w:p>
    <w:p>
      <w:pPr>
        <w:spacing w:before="40" w:after="80"/>
        <w:ind w:left="432" w:right="432"/>
        <w:jc w:val="both"/>
      </w:pPr>
      <w:r>
        <w:rPr>
          <w:rFonts w:ascii="Arial" w:hAnsi="Arial"/>
          <w:b/>
          <w:i w:val="0"/>
          <w:color w:val="555577"/>
          <w:sz w:val="19"/>
        </w:rPr>
        <w:t xml:space="preserve">Legal Basis: </w:t>
      </w:r>
      <w:r>
        <w:rPr>
          <w:rFonts w:ascii="Arial" w:hAnsi="Arial"/>
          <w:b w:val="0"/>
          <w:i/>
          <w:color w:val="555577"/>
          <w:sz w:val="19"/>
        </w:rPr>
        <w:t>Jones v. Alfred H. Mayer Co., 392 U.S. 409 (1968). General Building Contractors Ass'n v. Pennsylvania, 458 U.S. 375 (1982). Memphis v. Greene, 451 U.S. 100 (1981). Runyon v. McCrary, 427 U.S. 160 (1976): Section 1981 prohibits racial discrimination in private contracts.</w:t>
      </w:r>
    </w:p>
    <w:p>
      <w:pPr>
        <w:spacing w:before="120" w:after="120"/>
        <w:jc w:val="center"/>
        <w:pBdr>
          <w:bottom w:val="single" w:sz="4" w:space="1" w:color="1a1a2e"/>
        </w:pBdr>
      </w:pPr>
    </w:p>
    <w:p>
      <w:r>
        <w:br w:type="page"/>
      </w:r>
    </w:p>
    <w:p>
      <w:pPr>
        <w:spacing w:before="0" w:after="80"/>
        <w:jc w:val="center"/>
      </w:pPr>
      <w:r>
        <w:rPr>
          <w:rFonts w:ascii="Arial" w:hAnsi="Arial"/>
          <w:b/>
          <w:i w:val="0"/>
          <w:color w:val="1A1A2E"/>
          <w:sz w:val="26"/>
        </w:rPr>
        <w:t>PART THREE</w:t>
      </w:r>
    </w:p>
    <w:p>
      <w:pPr>
        <w:spacing w:before="0" w:after="120"/>
        <w:jc w:val="center"/>
      </w:pPr>
      <w:r>
        <w:rPr>
          <w:rFonts w:ascii="Arial" w:hAnsi="Arial"/>
          <w:b/>
          <w:i w:val="0"/>
          <w:color w:val="222244"/>
          <w:sz w:val="22"/>
        </w:rPr>
        <w:t>THE LEGAL FOUNDATION: CONNECTING THIS TOOLKIT TO THE DOCTRINE</w:t>
      </w:r>
    </w:p>
    <w:p>
      <w:pPr>
        <w:spacing w:before="280" w:after="80"/>
        <w:jc w:val="left"/>
        <w:pBdr>
          <w:bottom w:val="single" w:sz="4" w:space="1" w:color="1a1a2e"/>
        </w:pBdr>
      </w:pPr>
      <w:r>
        <w:rPr>
          <w:rFonts w:ascii="Arial" w:hAnsi="Arial"/>
          <w:b/>
          <w:i w:val="0"/>
          <w:color w:val="1A1A2E"/>
          <w:sz w:val="24"/>
        </w:rPr>
        <w:t>THE SPIRITUAL DIMENSION OF ECONOMIC SOVEREIGNTY</w:t>
      </w:r>
    </w:p>
    <w:p>
      <w:pPr>
        <w:spacing w:before="0" w:after="120"/>
        <w:jc w:val="both"/>
      </w:pPr>
      <w:r>
        <w:rPr>
          <w:rFonts w:ascii="Arial" w:hAnsi="Arial"/>
          <w:b w:val="0"/>
          <w:i w:val="0"/>
          <w:color w:val="000000"/>
          <w:sz w:val="21"/>
        </w:rPr>
        <w:t>The living being's labor is not a commodity created by the State and subject to unlimited State extraction. It is an expression of the being's divine creative energy, rooted in the understanding that the living being exists as an energetic expression of the Creator whose authority the State itself acknowledges in its own foundational texts.</w:t>
      </w:r>
    </w:p>
    <w:p>
      <w:pPr>
        <w:spacing w:before="0" w:after="120"/>
        <w:jc w:val="both"/>
      </w:pPr>
      <w:r>
        <w:rPr>
          <w:rFonts w:ascii="Arial" w:hAnsi="Arial"/>
          <w:b w:val="0"/>
          <w:i w:val="0"/>
          <w:color w:val="000000"/>
          <w:sz w:val="21"/>
        </w:rPr>
        <w:t>Any system that extracts the labor of the living being through force, deception, structural coercion, or the exploitation of a system the being's ancestors were excluded from building, without just compensation, without equal opportunity, and without acknowledgment of the sacred nature of that labor, commits a violation not only of the Thirteenth and Fourteenth Amendments but of the higher law from which Man's Law claims to derive its own legitimacy.</w:t>
      </w:r>
    </w:p>
    <w:p>
      <w:pPr>
        <w:spacing w:before="0" w:after="120"/>
        <w:jc w:val="both"/>
      </w:pPr>
      <w:r>
        <w:rPr>
          <w:rFonts w:ascii="Arial" w:hAnsi="Arial"/>
          <w:b w:val="0"/>
          <w:i w:val="0"/>
          <w:color w:val="000000"/>
          <w:sz w:val="21"/>
        </w:rPr>
        <w:t>This is not merely a philosophical claim. It is the foundation of the Thirteenth Amendment's badges and incidents doctrine, which the Supreme Court has recognized as a living, expansive grant of congressional power to address the structural economic legacy of slavery. It is the foundation of Title VII and section 1981, which prohibit the continuation of that legacy in the modern employment relationship. And it is the foundation of this doctrine's demand that every forum, domestic and international, hold the system accountable to the principles it has always claimed to uphold.</w:t>
      </w:r>
    </w:p>
    <w:p>
      <w:pPr>
        <w:spacing w:before="280" w:after="80"/>
        <w:jc w:val="left"/>
        <w:pBdr>
          <w:bottom w:val="single" w:sz="4" w:space="1" w:color="1a1a2e"/>
        </w:pBdr>
      </w:pPr>
      <w:r>
        <w:rPr>
          <w:rFonts w:ascii="Arial" w:hAnsi="Arial"/>
          <w:b/>
          <w:i w:val="0"/>
          <w:color w:val="1A1A2E"/>
          <w:sz w:val="24"/>
        </w:rPr>
        <w:t>THE LOPER BRIGHT FRAMEWORK FOR TAX AND LABOR AGENCY CHALLENGES</w:t>
      </w:r>
    </w:p>
    <w:p>
      <w:pPr>
        <w:spacing w:before="0" w:after="120"/>
        <w:jc w:val="both"/>
      </w:pPr>
      <w:r>
        <w:rPr>
          <w:rFonts w:ascii="Arial" w:hAnsi="Arial"/>
          <w:b w:val="0"/>
          <w:i w:val="0"/>
          <w:color w:val="000000"/>
          <w:sz w:val="21"/>
        </w:rPr>
        <w:t>Loper Bright Enterprises v. Raimondo, 603 U.S. ___ (2024), eliminated Chevron deference and requires courts to independently interpret statutes rather than defer to agency interpretations. This creates the following specific challenges in the tax and labor context:</w:t>
      </w:r>
    </w:p>
    <w:p>
      <w:pPr>
        <w:pStyle w:val="ListBullet"/>
        <w:spacing w:after="60"/>
        <w:ind w:left="576"/>
      </w:pPr>
      <w:r>
        <w:rPr>
          <w:rFonts w:ascii="Arial" w:hAnsi="Arial"/>
          <w:sz w:val="21"/>
        </w:rPr>
        <w:t>IRS regulations that expand the definition of taxable income beyond the plain statutory language of the Internal Revenue Code are now subject to independent judicial review.</w:t>
      </w:r>
    </w:p>
    <w:p>
      <w:pPr>
        <w:pStyle w:val="ListBullet"/>
        <w:spacing w:after="60"/>
        <w:ind w:left="576"/>
      </w:pPr>
      <w:r>
        <w:rPr>
          <w:rFonts w:ascii="Arial" w:hAnsi="Arial"/>
          <w:sz w:val="21"/>
        </w:rPr>
        <w:t>Department of Labor regulations that interpret overtime exemptions more broadly than the plain language of the Fair Labor Standards Act are now challengeable on independent review.</w:t>
      </w:r>
    </w:p>
    <w:p>
      <w:pPr>
        <w:pStyle w:val="ListBullet"/>
        <w:spacing w:after="60"/>
        <w:ind w:left="576"/>
      </w:pPr>
      <w:r>
        <w:rPr>
          <w:rFonts w:ascii="Arial" w:hAnsi="Arial"/>
          <w:sz w:val="21"/>
        </w:rPr>
        <w:t>EEOC guidance documents that create obligations not clearly stated in Title VII are no longer entitled to deference.</w:t>
      </w:r>
    </w:p>
    <w:p>
      <w:pPr>
        <w:pStyle w:val="ListBullet"/>
        <w:spacing w:after="60"/>
        <w:ind w:left="576"/>
      </w:pPr>
      <w:r>
        <w:rPr>
          <w:rFonts w:ascii="Arial" w:hAnsi="Arial"/>
          <w:sz w:val="21"/>
        </w:rPr>
        <w:t>Any agency penalty or assessment that rests on agency interpretation of ambiguous statutory language must be independently reviewed by the court.</w:t>
      </w:r>
    </w:p>
    <w:p>
      <w:pPr>
        <w:spacing w:before="80" w:after="80"/>
        <w:ind w:left="288"/>
        <w:jc w:val="both"/>
      </w:pPr>
      <w:r>
        <w:rPr>
          <w:rFonts w:ascii="Arial" w:hAnsi="Arial"/>
          <w:b/>
          <w:i w:val="0"/>
          <w:color w:val="7A5C00"/>
          <w:sz w:val="21"/>
        </w:rPr>
        <w:t xml:space="preserve">KEY POINT: </w:t>
      </w:r>
      <w:r>
        <w:rPr>
          <w:rFonts w:ascii="Arial" w:hAnsi="Arial"/>
          <w:b w:val="0"/>
          <w:i w:val="0"/>
          <w:color w:val="000000"/>
          <w:sz w:val="21"/>
        </w:rPr>
        <w:t>Loper Bright is the most significant administrative law development in forty years. It is underused because most people and practitioners have not yet incorporated it into their practice. Every agency dispute you face should include a Loper Bright challenge to the statutory authority underlying the agency's position.</w:t>
      </w:r>
    </w:p>
    <w:p>
      <w:r>
        <w:br w:type="page"/>
      </w:r>
    </w:p>
    <w:p>
      <w:pPr>
        <w:spacing w:before="280" w:after="80"/>
        <w:jc w:val="left"/>
        <w:pBdr>
          <w:bottom w:val="single" w:sz="4" w:space="1" w:color="1a1a2e"/>
        </w:pBdr>
      </w:pPr>
      <w:r>
        <w:rPr>
          <w:rFonts w:ascii="Arial" w:hAnsi="Arial"/>
          <w:b/>
          <w:i w:val="0"/>
          <w:color w:val="1A1A2E"/>
          <w:sz w:val="24"/>
        </w:rPr>
        <w:t>TABLE OF LEGAL AUTHORITIES</w:t>
      </w:r>
    </w:p>
    <w:p>
      <w:pPr>
        <w:spacing w:before="200" w:after="60"/>
        <w:jc w:val="left"/>
      </w:pPr>
      <w:r>
        <w:rPr>
          <w:rFonts w:ascii="Arial" w:hAnsi="Arial"/>
          <w:b/>
          <w:i w:val="0"/>
          <w:color w:val="222244"/>
          <w:sz w:val="22"/>
        </w:rPr>
        <w:t>United States Supreme Court Cases</w:t>
      </w:r>
    </w:p>
    <w:p>
      <w:pPr>
        <w:pStyle w:val="ListBullet"/>
        <w:spacing w:after="60"/>
        <w:ind w:left="576"/>
      </w:pPr>
      <w:r>
        <w:rPr>
          <w:rFonts w:ascii="Arial" w:hAnsi="Arial"/>
          <w:sz w:val="21"/>
        </w:rPr>
        <w:t>Anderson v. Mt. Clemens Pottery Co., 328 U.S. 680 (1946)</w:t>
      </w:r>
    </w:p>
    <w:p>
      <w:pPr>
        <w:pStyle w:val="ListBullet"/>
        <w:spacing w:after="60"/>
        <w:ind w:left="576"/>
      </w:pPr>
      <w:r>
        <w:rPr>
          <w:rFonts w:ascii="Arial" w:hAnsi="Arial"/>
          <w:sz w:val="21"/>
        </w:rPr>
        <w:t>General Building Contractors Ass'n v. Pennsylvania, 458 U.S. 375 (1982)</w:t>
      </w:r>
    </w:p>
    <w:p>
      <w:pPr>
        <w:pStyle w:val="ListBullet"/>
        <w:spacing w:after="60"/>
        <w:ind w:left="576"/>
      </w:pPr>
      <w:r>
        <w:rPr>
          <w:rFonts w:ascii="Arial" w:hAnsi="Arial"/>
          <w:sz w:val="21"/>
        </w:rPr>
        <w:t>Griggs v. Duke Power Co., 401 U.S. 424 (1971)</w:t>
      </w:r>
    </w:p>
    <w:p>
      <w:pPr>
        <w:pStyle w:val="ListBullet"/>
        <w:spacing w:after="60"/>
        <w:ind w:left="576"/>
      </w:pPr>
      <w:r>
        <w:rPr>
          <w:rFonts w:ascii="Arial" w:hAnsi="Arial"/>
          <w:sz w:val="21"/>
        </w:rPr>
        <w:t>Jones v. Alfred H. Mayer Co., 392 U.S. 409 (1968)</w:t>
      </w:r>
    </w:p>
    <w:p>
      <w:pPr>
        <w:pStyle w:val="ListBullet"/>
        <w:spacing w:after="60"/>
        <w:ind w:left="576"/>
      </w:pPr>
      <w:r>
        <w:rPr>
          <w:rFonts w:ascii="Arial" w:hAnsi="Arial"/>
          <w:sz w:val="21"/>
        </w:rPr>
        <w:t>Loper Bright Enterprises v. Raimondo, 603 U.S. ___ (2024)</w:t>
      </w:r>
    </w:p>
    <w:p>
      <w:pPr>
        <w:pStyle w:val="ListBullet"/>
        <w:spacing w:after="60"/>
        <w:ind w:left="576"/>
      </w:pPr>
      <w:r>
        <w:rPr>
          <w:rFonts w:ascii="Arial" w:hAnsi="Arial"/>
          <w:sz w:val="21"/>
        </w:rPr>
        <w:t>McDonnell Douglas Corp. v. Green, 411 U.S. 792 (1973)</w:t>
      </w:r>
    </w:p>
    <w:p>
      <w:pPr>
        <w:pStyle w:val="ListBullet"/>
        <w:spacing w:after="60"/>
        <w:ind w:left="576"/>
      </w:pPr>
      <w:r>
        <w:rPr>
          <w:rFonts w:ascii="Arial" w:hAnsi="Arial"/>
          <w:sz w:val="21"/>
        </w:rPr>
        <w:t>Memphis v. Greene, 451 U.S. 100 (1981)</w:t>
      </w:r>
    </w:p>
    <w:p>
      <w:pPr>
        <w:pStyle w:val="ListBullet"/>
        <w:spacing w:after="60"/>
        <w:ind w:left="576"/>
      </w:pPr>
      <w:r>
        <w:rPr>
          <w:rFonts w:ascii="Arial" w:hAnsi="Arial"/>
          <w:sz w:val="21"/>
        </w:rPr>
        <w:t>Runyon v. McCrary, 427 U.S. 160 (1976)</w:t>
      </w:r>
    </w:p>
    <w:p>
      <w:pPr>
        <w:pStyle w:val="ListBullet"/>
        <w:spacing w:after="60"/>
        <w:ind w:left="576"/>
      </w:pPr>
      <w:r>
        <w:rPr>
          <w:rFonts w:ascii="Arial" w:hAnsi="Arial"/>
          <w:sz w:val="21"/>
        </w:rPr>
        <w:t>United States v. Boyle, 469 U.S. 241 (1985)</w:t>
      </w:r>
    </w:p>
    <w:p>
      <w:pPr>
        <w:pStyle w:val="ListBullet"/>
        <w:spacing w:after="60"/>
        <w:ind w:left="576"/>
      </w:pPr>
      <w:r>
        <w:rPr>
          <w:rFonts w:ascii="Arial" w:hAnsi="Arial"/>
          <w:sz w:val="21"/>
        </w:rPr>
        <w:t>United States v. Lee, 455 U.S. 252 (1982)</w:t>
      </w:r>
    </w:p>
    <w:p>
      <w:pPr>
        <w:pStyle w:val="ListBullet"/>
        <w:spacing w:after="60"/>
        <w:ind w:left="576"/>
      </w:pPr>
      <w:r>
        <w:rPr>
          <w:rFonts w:ascii="Arial" w:hAnsi="Arial"/>
          <w:sz w:val="21"/>
        </w:rPr>
        <w:t>United States v. Seeger, 380 U.S. 163 (1965)</w:t>
      </w:r>
    </w:p>
    <w:p>
      <w:pPr>
        <w:spacing w:before="200" w:after="60"/>
        <w:jc w:val="left"/>
      </w:pPr>
      <w:r>
        <w:rPr>
          <w:rFonts w:ascii="Arial" w:hAnsi="Arial"/>
          <w:b/>
          <w:i w:val="0"/>
          <w:color w:val="222244"/>
          <w:sz w:val="22"/>
        </w:rPr>
        <w:t>Federal Statutes</w:t>
      </w:r>
    </w:p>
    <w:p>
      <w:pPr>
        <w:pStyle w:val="ListBullet"/>
        <w:spacing w:after="60"/>
        <w:ind w:left="576"/>
      </w:pPr>
      <w:r>
        <w:rPr>
          <w:rFonts w:ascii="Arial" w:hAnsi="Arial"/>
          <w:sz w:val="21"/>
        </w:rPr>
        <w:t>U.S. Const. amend. XIII (Abolition of Slavery; Badges and Incidents)</w:t>
      </w:r>
    </w:p>
    <w:p>
      <w:pPr>
        <w:pStyle w:val="ListBullet"/>
        <w:spacing w:after="60"/>
        <w:ind w:left="576"/>
      </w:pPr>
      <w:r>
        <w:rPr>
          <w:rFonts w:ascii="Arial" w:hAnsi="Arial"/>
          <w:sz w:val="21"/>
        </w:rPr>
        <w:t>U.S. Const. amend. XIV (Equal Protection; Due Process)</w:t>
      </w:r>
    </w:p>
    <w:p>
      <w:pPr>
        <w:pStyle w:val="ListBullet"/>
        <w:spacing w:after="60"/>
        <w:ind w:left="576"/>
      </w:pPr>
      <w:r>
        <w:rPr>
          <w:rFonts w:ascii="Arial" w:hAnsi="Arial"/>
          <w:sz w:val="21"/>
        </w:rPr>
        <w:t>Religious Freedom Restoration Act, 42 U.S.C. section 2000bb et seq.</w:t>
      </w:r>
    </w:p>
    <w:p>
      <w:pPr>
        <w:pStyle w:val="ListBullet"/>
        <w:spacing w:after="60"/>
        <w:ind w:left="576"/>
      </w:pPr>
      <w:r>
        <w:rPr>
          <w:rFonts w:ascii="Arial" w:hAnsi="Arial"/>
          <w:sz w:val="21"/>
        </w:rPr>
        <w:t>42 U.S.C. section 1981 (Equal Rights Under the Law)</w:t>
      </w:r>
    </w:p>
    <w:p>
      <w:pPr>
        <w:pStyle w:val="ListBullet"/>
        <w:spacing w:after="60"/>
        <w:ind w:left="576"/>
      </w:pPr>
      <w:r>
        <w:rPr>
          <w:rFonts w:ascii="Arial" w:hAnsi="Arial"/>
          <w:sz w:val="21"/>
        </w:rPr>
        <w:t>42 U.S.C. section 1983 (Civil Action for Deprivation of Rights)</w:t>
      </w:r>
    </w:p>
    <w:p>
      <w:pPr>
        <w:pStyle w:val="ListBullet"/>
        <w:spacing w:after="60"/>
        <w:ind w:left="576"/>
      </w:pPr>
      <w:r>
        <w:rPr>
          <w:rFonts w:ascii="Arial" w:hAnsi="Arial"/>
          <w:sz w:val="21"/>
        </w:rPr>
        <w:t>Title VII of the Civil Rights Act of 1964, 42 U.S.C. sections 2000e et seq.</w:t>
      </w:r>
    </w:p>
    <w:p>
      <w:pPr>
        <w:pStyle w:val="ListBullet"/>
        <w:spacing w:after="60"/>
        <w:ind w:left="576"/>
      </w:pPr>
      <w:r>
        <w:rPr>
          <w:rFonts w:ascii="Arial" w:hAnsi="Arial"/>
          <w:sz w:val="21"/>
        </w:rPr>
        <w:t>Fair Labor Standards Act, 29 U.S.C. sections 201 et seq.</w:t>
      </w:r>
    </w:p>
    <w:p>
      <w:pPr>
        <w:pStyle w:val="ListBullet"/>
        <w:spacing w:after="60"/>
        <w:ind w:left="576"/>
      </w:pPr>
      <w:r>
        <w:rPr>
          <w:rFonts w:ascii="Arial" w:hAnsi="Arial"/>
          <w:sz w:val="21"/>
        </w:rPr>
        <w:t>Internal Revenue Code section 7803(a)(3) (Taxpayer Bill of Rights)</w:t>
      </w:r>
    </w:p>
    <w:p>
      <w:pPr>
        <w:pStyle w:val="ListBullet"/>
        <w:spacing w:after="60"/>
        <w:ind w:left="576"/>
      </w:pPr>
      <w:r>
        <w:rPr>
          <w:rFonts w:ascii="Arial" w:hAnsi="Arial"/>
          <w:sz w:val="21"/>
        </w:rPr>
        <w:t>Internal Revenue Code section 6330 (Collection Due Process)</w:t>
      </w:r>
    </w:p>
    <w:p>
      <w:pPr>
        <w:pStyle w:val="ListBullet"/>
        <w:spacing w:after="60"/>
        <w:ind w:left="576"/>
      </w:pPr>
      <w:r>
        <w:rPr>
          <w:rFonts w:ascii="Arial" w:hAnsi="Arial"/>
          <w:sz w:val="21"/>
        </w:rPr>
        <w:t>Internal Revenue Code section 6404 (Abatement of Penalties)</w:t>
      </w:r>
    </w:p>
    <w:p>
      <w:pPr>
        <w:pStyle w:val="ListBullet"/>
        <w:spacing w:after="60"/>
        <w:ind w:left="576"/>
      </w:pPr>
      <w:r>
        <w:rPr>
          <w:rFonts w:ascii="Arial" w:hAnsi="Arial"/>
          <w:sz w:val="21"/>
        </w:rPr>
        <w:t>Internal Revenue Code section 7122 (Offer in Compromise)</w:t>
      </w:r>
    </w:p>
    <w:p>
      <w:pPr>
        <w:spacing w:before="200" w:after="60"/>
        <w:jc w:val="left"/>
      </w:pPr>
      <w:r>
        <w:rPr>
          <w:rFonts w:ascii="Arial" w:hAnsi="Arial"/>
          <w:b/>
          <w:i w:val="0"/>
          <w:color w:val="222244"/>
          <w:sz w:val="22"/>
        </w:rPr>
        <w:t>Georgia Law</w:t>
      </w:r>
    </w:p>
    <w:p>
      <w:pPr>
        <w:pStyle w:val="ListBullet"/>
        <w:spacing w:after="60"/>
        <w:ind w:left="576"/>
      </w:pPr>
      <w:r>
        <w:rPr>
          <w:rFonts w:ascii="Arial" w:hAnsi="Arial"/>
          <w:sz w:val="21"/>
        </w:rPr>
        <w:t>O.C.G.A. section 34-7-2 (Georgia Wage Payment Act)</w:t>
      </w:r>
    </w:p>
    <w:p>
      <w:pPr>
        <w:pStyle w:val="ListBullet"/>
        <w:spacing w:after="60"/>
        <w:ind w:left="576"/>
      </w:pPr>
      <w:r>
        <w:rPr>
          <w:rFonts w:ascii="Arial" w:hAnsi="Arial"/>
          <w:sz w:val="21"/>
        </w:rPr>
        <w:t>Georgia Religious Freedom Restoration Act, O.C.G.A. section 50-3-1 et seq.</w:t>
      </w:r>
    </w:p>
    <w:p>
      <w:pPr>
        <w:pStyle w:val="ListBullet"/>
        <w:spacing w:after="60"/>
        <w:ind w:left="576"/>
      </w:pPr>
      <w:r>
        <w:rPr>
          <w:rFonts w:ascii="Arial" w:hAnsi="Arial"/>
          <w:sz w:val="21"/>
        </w:rPr>
        <w:t>Georgia Constitution, Art. I, Sec. I, Par. I (Due Process)</w:t>
      </w:r>
    </w:p>
    <w:p>
      <w:pPr>
        <w:pStyle w:val="ListBullet"/>
        <w:spacing w:after="60"/>
        <w:ind w:left="576"/>
      </w:pPr>
      <w:r>
        <w:rPr>
          <w:rFonts w:ascii="Arial" w:hAnsi="Arial"/>
          <w:sz w:val="21"/>
        </w:rPr>
        <w:t>Georgia Constitution, Art. I, Sec. I, Par. IV (Religious Freedom)</w:t>
      </w:r>
    </w:p>
    <w:p>
      <w:pPr>
        <w:spacing w:before="200" w:after="60"/>
        <w:jc w:val="left"/>
      </w:pPr>
      <w:r>
        <w:rPr>
          <w:rFonts w:ascii="Arial" w:hAnsi="Arial"/>
          <w:b/>
          <w:i w:val="0"/>
          <w:color w:val="222244"/>
          <w:sz w:val="22"/>
        </w:rPr>
        <w:t>Administrative Authorities</w:t>
      </w:r>
    </w:p>
    <w:p>
      <w:pPr>
        <w:pStyle w:val="ListBullet"/>
        <w:spacing w:after="60"/>
        <w:ind w:left="576"/>
      </w:pPr>
      <w:r>
        <w:rPr>
          <w:rFonts w:ascii="Arial" w:hAnsi="Arial"/>
          <w:sz w:val="21"/>
        </w:rPr>
        <w:t>IRM section 20.1.1.3.6.1 (First-Time Penalty Abatement Policy)</w:t>
      </w:r>
    </w:p>
    <w:p>
      <w:pPr>
        <w:pStyle w:val="ListBullet"/>
        <w:spacing w:after="60"/>
        <w:ind w:left="576"/>
      </w:pPr>
      <w:r>
        <w:rPr>
          <w:rFonts w:ascii="Arial" w:hAnsi="Arial"/>
          <w:sz w:val="21"/>
        </w:rPr>
        <w:t>IRS Publication 1: Your Rights as a Taxpayer</w:t>
      </w:r>
    </w:p>
    <w:p>
      <w:pPr>
        <w:pStyle w:val="ListBullet"/>
        <w:spacing w:after="60"/>
        <w:ind w:left="576"/>
      </w:pPr>
      <w:r>
        <w:rPr>
          <w:rFonts w:ascii="Arial" w:hAnsi="Arial"/>
          <w:sz w:val="21"/>
        </w:rPr>
        <w:t>EEOC Charge Filing Procedures, 29 C.F.R. section 1601</w:t>
      </w:r>
    </w:p>
    <w:p>
      <w:pPr>
        <w:pStyle w:val="ListBullet"/>
        <w:spacing w:after="60"/>
        <w:ind w:left="576"/>
      </w:pPr>
      <w:r>
        <w:rPr>
          <w:rFonts w:ascii="Arial" w:hAnsi="Arial"/>
          <w:sz w:val="21"/>
        </w:rPr>
        <w:t>DOL Wage and Hour Division, 29 C.F.R. Part 785 (Hours Worked)</w:t>
      </w:r>
    </w:p>
    <w:p>
      <w:pPr>
        <w:spacing w:before="200" w:after="60"/>
        <w:jc w:val="left"/>
      </w:pPr>
      <w:r>
        <w:rPr>
          <w:rFonts w:ascii="Arial" w:hAnsi="Arial"/>
          <w:b/>
          <w:i w:val="0"/>
          <w:color w:val="222244"/>
          <w:sz w:val="22"/>
        </w:rPr>
        <w:t>Secondary Authorities and Doctrine Sources</w:t>
      </w:r>
    </w:p>
    <w:p>
      <w:pPr>
        <w:pStyle w:val="ListBullet"/>
        <w:spacing w:after="60"/>
        <w:ind w:left="576"/>
      </w:pPr>
      <w:r>
        <w:rPr>
          <w:rFonts w:ascii="Arial" w:hAnsi="Arial"/>
          <w:sz w:val="21"/>
        </w:rPr>
        <w:t>Rickey Allan Howard, The Sovereign Self: Reclaiming Divine Intent in Law and Governance, Volumes I-VII (2025-2026)</w:t>
      </w:r>
    </w:p>
    <w:p>
      <w:pPr>
        <w:pStyle w:val="ListBullet"/>
        <w:spacing w:after="60"/>
        <w:ind w:left="576"/>
      </w:pPr>
      <w:r>
        <w:rPr>
          <w:rFonts w:ascii="Arial" w:hAnsi="Arial"/>
          <w:sz w:val="21"/>
        </w:rPr>
        <w:t>Rickey Allan Howard, The Doctrine of Pre-Political Sovereign Being (2026)</w:t>
      </w:r>
    </w:p>
    <w:p>
      <w:pPr>
        <w:pStyle w:val="ListBullet"/>
        <w:spacing w:after="60"/>
        <w:ind w:left="576"/>
      </w:pPr>
      <w:r>
        <w:rPr>
          <w:rFonts w:ascii="Arial" w:hAnsi="Arial"/>
          <w:sz w:val="21"/>
        </w:rPr>
        <w:t>Rickey Allan Howard, An Indictment (2025)</w:t>
      </w:r>
    </w:p>
    <w:p>
      <w:pPr>
        <w:pStyle w:val="ListBullet"/>
        <w:spacing w:after="60"/>
        <w:ind w:left="576"/>
      </w:pPr>
      <w:r>
        <w:rPr>
          <w:rFonts w:ascii="Arial" w:hAnsi="Arial"/>
          <w:sz w:val="21"/>
        </w:rPr>
        <w:t>Rickey Allan Howard, Argument Before the Honorable Justices of the Supreme Court (2025)</w:t>
      </w:r>
    </w:p>
    <w:p>
      <w:pPr>
        <w:spacing w:before="120" w:after="120"/>
        <w:jc w:val="center"/>
        <w:pBdr>
          <w:bottom w:val="single" w:sz="2" w:space="1" w:color="888888"/>
        </w:pBdr>
      </w:pPr>
    </w:p>
    <w:p>
      <w:pPr>
        <w:spacing w:before="80" w:after="0"/>
        <w:jc w:val="center"/>
      </w:pPr>
      <w:r>
        <w:rPr>
          <w:rFonts w:ascii="Arial" w:hAnsi="Arial"/>
          <w:b w:val="0"/>
          <w:i/>
          <w:color w:val="555577"/>
          <w:sz w:val="21"/>
        </w:rPr>
        <w:t>This toolkit is Part Two of the Sovereign Self Legal Defense Series. It is a legal education and defense framework grounded in existing federal law, Georgia state law, and the Doctrine of Pre-Political Sovereign Being. It is not a substitute for a licensed tax attorney or employment attorney. Consult qualified counsel for your specific situation. This document may be reproduced and shared freely for the defense of any living being whose economic rights are at risk.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