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40"/>
        </w:rPr>
        <w:t>THE SOVEREIGN SELF</w:t>
      </w:r>
    </w:p>
    <w:p>
      <w:pPr>
        <w:spacing w:before="0" w:after="40"/>
        <w:jc w:val="center"/>
      </w:pPr>
      <w:r>
        <w:rPr>
          <w:rFonts w:ascii="Arial" w:hAnsi="Arial"/>
          <w:b w:val="0"/>
          <w:i/>
          <w:color w:val="222244"/>
          <w:sz w:val="24"/>
        </w:rPr>
        <w:t>Reclaiming Divine Intent in Law and Governance</w:t>
      </w:r>
    </w:p>
    <w:p>
      <w:pPr>
        <w:spacing w:before="80" w:after="80"/>
        <w:jc w:val="center"/>
        <w:pBdr>
          <w:bottom w:val="single" w:sz="8" w:space="1" w:color="1a1a2e"/>
        </w:pBdr>
      </w:pPr>
    </w:p>
    <w:p>
      <w:pPr>
        <w:spacing w:before="80" w:after="40"/>
        <w:jc w:val="center"/>
      </w:pPr>
      <w:r>
        <w:rPr>
          <w:rFonts w:ascii="Arial" w:hAnsi="Arial"/>
          <w:b/>
          <w:i w:val="0"/>
          <w:color w:val="1A1A2E"/>
          <w:sz w:val="28"/>
        </w:rPr>
        <w:t>INTRODUCTION</w:t>
      </w:r>
    </w:p>
    <w:p>
      <w:pPr>
        <w:spacing w:before="0" w:after="160"/>
        <w:jc w:val="center"/>
      </w:pPr>
      <w:r>
        <w:rPr>
          <w:rFonts w:ascii="Arial" w:hAnsi="Arial"/>
          <w:b w:val="0"/>
          <w:i/>
          <w:color w:val="222244"/>
          <w:sz w:val="22"/>
        </w:rPr>
        <w:t>The Hand, the Word, and the Living Being</w:t>
      </w:r>
    </w:p>
    <w:p>
      <w:pPr>
        <w:spacing w:before="4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160"/>
        <w:jc w:val="center"/>
      </w:pPr>
      <w:r>
        <w:rPr>
          <w:rFonts w:ascii="Arial" w:hAnsi="Arial"/>
          <w:b w:val="0"/>
          <w:i w:val="0"/>
          <w:color w:val="555577"/>
          <w:sz w:val="20"/>
        </w:rPr>
        <w:t>Athens, Georgia  |  2026</w:t>
      </w:r>
    </w:p>
    <w:p>
      <w:r>
        <w:br w:type="page"/>
      </w:r>
    </w:p>
    <w:p>
      <w:pPr>
        <w:spacing w:before="400" w:after="120"/>
        <w:jc w:val="center"/>
      </w:pPr>
      <w:r>
        <w:rPr>
          <w:rFonts w:ascii="Arial" w:hAnsi="Arial"/>
          <w:b w:val="0"/>
          <w:i/>
          <w:color w:val="1A003A"/>
          <w:sz w:val="28"/>
        </w:rPr>
        <w:t>No one can snatch them out of my Father's hand.</w:t>
      </w:r>
    </w:p>
    <w:p>
      <w:pPr>
        <w:spacing w:before="0" w:after="120"/>
        <w:jc w:val="center"/>
      </w:pPr>
      <w:r>
        <w:rPr>
          <w:rFonts w:ascii="Arial" w:hAnsi="Arial"/>
          <w:b w:val="0"/>
          <w:i/>
          <w:color w:val="555577"/>
          <w:sz w:val="20"/>
        </w:rPr>
        <w:t>— John 10:29</w:t>
      </w:r>
    </w:p>
    <w:p>
      <w:pPr>
        <w:spacing w:before="160" w:after="120"/>
        <w:jc w:val="center"/>
      </w:pPr>
      <w:r>
        <w:rPr>
          <w:rFonts w:ascii="Arial" w:hAnsi="Arial"/>
          <w:b w:val="0"/>
          <w:i/>
          <w:color w:val="1A003A"/>
          <w:sz w:val="24"/>
        </w:rPr>
        <w:t>Behold, I have engraved you on the palms of my hands.</w:t>
      </w:r>
    </w:p>
    <w:p>
      <w:pPr>
        <w:spacing w:before="0" w:after="120"/>
        <w:jc w:val="center"/>
      </w:pPr>
      <w:r>
        <w:rPr>
          <w:rFonts w:ascii="Arial" w:hAnsi="Arial"/>
          <w:b w:val="0"/>
          <w:i/>
          <w:color w:val="555577"/>
          <w:sz w:val="20"/>
        </w:rPr>
        <w:t>— Isaiah 49:16</w:t>
      </w:r>
    </w:p>
    <w:p>
      <w:pPr>
        <w:spacing w:before="160" w:after="120"/>
        <w:jc w:val="center"/>
      </w:pPr>
      <w:r>
        <w:rPr>
          <w:rFonts w:ascii="Arial" w:hAnsi="Arial"/>
          <w:b w:val="0"/>
          <w:i/>
          <w:color w:val="1A003A"/>
          <w:sz w:val="24"/>
        </w:rPr>
        <w:t>The souls of the righteous are in the hand of God,</w:t>
      </w:r>
    </w:p>
    <w:p>
      <w:pPr>
        <w:spacing w:before="0" w:after="120"/>
        <w:jc w:val="center"/>
      </w:pPr>
      <w:r>
        <w:rPr>
          <w:rFonts w:ascii="Arial" w:hAnsi="Arial"/>
          <w:b w:val="0"/>
          <w:i/>
          <w:color w:val="1A003A"/>
          <w:sz w:val="24"/>
        </w:rPr>
        <w:t>and no torment will ever touch them.</w:t>
      </w:r>
    </w:p>
    <w:p>
      <w:pPr>
        <w:spacing w:before="0" w:after="400"/>
        <w:jc w:val="center"/>
      </w:pPr>
      <w:r>
        <w:rPr>
          <w:rFonts w:ascii="Arial" w:hAnsi="Arial"/>
          <w:b w:val="0"/>
          <w:i/>
          <w:color w:val="555577"/>
          <w:sz w:val="20"/>
        </w:rPr>
        <w:t>— Wisdom of Solomon 3:1</w:t>
      </w:r>
    </w:p>
    <w:p>
      <w:r>
        <w:br w:type="page"/>
      </w:r>
    </w:p>
    <w:p>
      <w:pPr>
        <w:spacing w:before="0" w:after="160"/>
        <w:jc w:val="center"/>
      </w:pPr>
      <w:r>
        <w:rPr>
          <w:rFonts w:ascii="Arial" w:hAnsi="Arial"/>
          <w:b/>
          <w:i w:val="0"/>
          <w:color w:val="1A1A2E"/>
          <w:sz w:val="28"/>
        </w:rPr>
        <w:t>THE WORD</w:t>
      </w:r>
    </w:p>
    <w:p>
      <w:pPr>
        <w:spacing w:before="0" w:after="120"/>
        <w:jc w:val="center"/>
      </w:pPr>
      <w:r>
        <w:rPr>
          <w:rFonts w:ascii="Arial" w:hAnsi="Arial"/>
          <w:b w:val="0"/>
          <w:i w:val="0"/>
          <w:color w:val="000000"/>
          <w:sz w:val="21"/>
        </w:rPr>
        <w:t>Begin with a word. One word that contains the entire history of what this book is about.</w:t>
      </w:r>
    </w:p>
    <w:p>
      <w:pPr>
        <w:spacing w:before="160" w:after="80"/>
        <w:jc w:val="center"/>
      </w:pPr>
      <w:r>
        <w:rPr>
          <w:rFonts w:ascii="Arial" w:hAnsi="Arial"/>
          <w:b/>
          <w:i w:val="0"/>
          <w:color w:val="1A1A2E"/>
          <w:sz w:val="36"/>
        </w:rPr>
        <w:t>E  M  A  N  C  I  P  A  T  I  O  N</w:t>
      </w:r>
    </w:p>
    <w:p>
      <w:pPr>
        <w:spacing w:before="80" w:after="160"/>
        <w:jc w:val="center"/>
      </w:pPr>
      <w:r>
        <w:rPr>
          <w:rFonts w:ascii="Arial" w:hAnsi="Arial"/>
          <w:b w:val="0"/>
          <w:i/>
          <w:color w:val="222244"/>
          <w:sz w:val="21"/>
        </w:rPr>
        <w:t>Say it slowly. Break it open.</w:t>
      </w:r>
    </w:p>
    <w:p>
      <w:pPr>
        <w:spacing w:before="80" w:after="80"/>
        <w:jc w:val="center"/>
      </w:pPr>
      <w:r>
        <w:rPr>
          <w:rFonts w:ascii="Arial" w:hAnsi="Arial"/>
          <w:b/>
          <w:i w:val="0"/>
          <w:color w:val="1A1A2E"/>
          <w:sz w:val="26"/>
        </w:rPr>
        <w:t>E-</w:t>
      </w:r>
      <w:r>
        <w:rPr>
          <w:rFonts w:ascii="Arial" w:hAnsi="Arial"/>
          <w:b w:val="0"/>
          <w:i/>
          <w:color w:val="555577"/>
          <w:sz w:val="20"/>
        </w:rPr>
        <w:t xml:space="preserve"> (ex: out of)</w:t>
      </w:r>
      <w:r>
        <w:rPr>
          <w:rFonts w:ascii="Arial" w:hAnsi="Arial"/>
          <w:b w:val="0"/>
          <w:i w:val="0"/>
          <w:color w:val="555577"/>
          <w:sz w:val="20"/>
        </w:rPr>
        <w:t xml:space="preserve">   —   </w:t>
      </w:r>
      <w:r>
        <w:rPr>
          <w:rFonts w:ascii="Arial" w:hAnsi="Arial"/>
          <w:b/>
          <w:i w:val="0"/>
          <w:color w:val="1A1A2E"/>
          <w:sz w:val="26"/>
        </w:rPr>
        <w:t>MAN-</w:t>
      </w:r>
      <w:r>
        <w:rPr>
          <w:rFonts w:ascii="Arial" w:hAnsi="Arial"/>
          <w:b w:val="0"/>
          <w:i/>
          <w:color w:val="555577"/>
          <w:sz w:val="20"/>
        </w:rPr>
        <w:t xml:space="preserve"> (manus: the Hand)</w:t>
      </w:r>
    </w:p>
    <w:p>
      <w:pPr>
        <w:spacing w:before="40" w:after="40"/>
        <w:jc w:val="center"/>
      </w:pPr>
      <w:r>
        <w:rPr>
          <w:rFonts w:ascii="Arial" w:hAnsi="Arial"/>
          <w:b w:val="0"/>
          <w:i w:val="0"/>
          <w:color w:val="555577"/>
          <w:sz w:val="28"/>
        </w:rPr>
        <w:t>—</w:t>
      </w:r>
    </w:p>
    <w:p>
      <w:pPr>
        <w:spacing w:before="80" w:after="80"/>
        <w:jc w:val="center"/>
      </w:pPr>
      <w:r>
        <w:rPr>
          <w:rFonts w:ascii="Arial" w:hAnsi="Arial"/>
          <w:b/>
          <w:i w:val="0"/>
          <w:color w:val="1A1A2E"/>
          <w:sz w:val="26"/>
        </w:rPr>
        <w:t>CIP-</w:t>
      </w:r>
      <w:r>
        <w:rPr>
          <w:rFonts w:ascii="Arial" w:hAnsi="Arial"/>
          <w:b w:val="0"/>
          <w:i/>
          <w:color w:val="555577"/>
          <w:sz w:val="20"/>
        </w:rPr>
        <w:t xml:space="preserve"> (capere: to seize)</w:t>
      </w:r>
      <w:r>
        <w:rPr>
          <w:rFonts w:ascii="Arial" w:hAnsi="Arial"/>
          <w:b w:val="0"/>
          <w:i w:val="0"/>
          <w:color w:val="555577"/>
          <w:sz w:val="20"/>
        </w:rPr>
        <w:t xml:space="preserve">   —   </w:t>
      </w:r>
      <w:r>
        <w:rPr>
          <w:rFonts w:ascii="Arial" w:hAnsi="Arial"/>
          <w:b/>
          <w:i w:val="0"/>
          <w:color w:val="1A1A2E"/>
          <w:sz w:val="26"/>
        </w:rPr>
        <w:t>-ATIO</w:t>
      </w:r>
      <w:r>
        <w:rPr>
          <w:rFonts w:ascii="Arial" w:hAnsi="Arial"/>
          <w:b w:val="0"/>
          <w:i/>
          <w:color w:val="555577"/>
          <w:sz w:val="20"/>
        </w:rPr>
        <w:t xml:space="preserve"> (the act of doing)</w:t>
      </w:r>
    </w:p>
    <w:p>
      <w:pPr>
        <w:spacing w:before="160" w:after="80"/>
        <w:jc w:val="center"/>
      </w:pPr>
      <w:r>
        <w:rPr>
          <w:rFonts w:ascii="Arial" w:hAnsi="Arial"/>
          <w:b/>
          <w:i/>
          <w:color w:val="1A003A"/>
          <w:sz w:val="24"/>
        </w:rPr>
        <w:t>The act of being taken out of the seizing hand.</w:t>
      </w:r>
    </w:p>
    <w:p>
      <w:pPr>
        <w:spacing w:before="160" w:after="120"/>
        <w:jc w:val="both"/>
      </w:pPr>
      <w:r>
        <w:rPr>
          <w:rFonts w:ascii="Arial" w:hAnsi="Arial"/>
          <w:b w:val="0"/>
          <w:i w:val="0"/>
          <w:color w:val="000000"/>
          <w:sz w:val="21"/>
        </w:rPr>
        <w:t>That is what the word means. Not freedom granted. Not liberation given. The act of being taken out of a hand that was seizing you. The hand is still the reference point. The hand is still the center of the legal universe even in the act that was supposed to end its authority over you.</w:t>
      </w:r>
    </w:p>
    <w:p>
      <w:pPr>
        <w:spacing w:before="0" w:after="120"/>
        <w:jc w:val="both"/>
      </w:pPr>
      <w:r>
        <w:rPr>
          <w:rFonts w:ascii="Arial" w:hAnsi="Arial"/>
          <w:b w:val="0"/>
          <w:i w:val="0"/>
          <w:color w:val="000000"/>
          <w:sz w:val="21"/>
        </w:rPr>
        <w:t>In Roman law, manus was not a metaphor. It was a specific legal institution — the formal power held by the paterfamilias over his wife, his children, and his slaves. To be in manu was to be in the hand: property with no independent legal standing, no ability to own, no voice before any court except through the one whose hand held you.</w:t>
      </w:r>
    </w:p>
    <w:p>
      <w:pPr>
        <w:spacing w:before="0" w:after="120"/>
        <w:jc w:val="both"/>
      </w:pPr>
      <w:r>
        <w:rPr>
          <w:rFonts w:ascii="Arial" w:hAnsi="Arial"/>
          <w:b w:val="0"/>
          <w:i w:val="0"/>
          <w:color w:val="000000"/>
          <w:sz w:val="21"/>
        </w:rPr>
        <w:t>The American slave system imported this structure. Not just the practice of bondage but the specific legal architecture of the hand's ownership. The admiralty courts that classified enslaved persons as maritime cargo. The insurance documents that valued them as commercial property. The constitutional provisions that counted them as three-fifths of a person for apportionment while denying them any rights whatsoever. All of it was the hand operating through American legal form.</w:t>
      </w:r>
    </w:p>
    <w:p>
      <w:pPr>
        <w:spacing w:before="0" w:after="120"/>
        <w:jc w:val="both"/>
      </w:pPr>
      <w:r>
        <w:rPr>
          <w:rFonts w:ascii="Arial" w:hAnsi="Arial"/>
          <w:b w:val="0"/>
          <w:i w:val="0"/>
          <w:color w:val="000000"/>
          <w:sz w:val="21"/>
        </w:rPr>
        <w:t>When formal emancipation came, the living being was taken out of the seizing hand. E-manus-capere. But the hand remained. The Black Codes came within eighteen days of ratification of the Thirteenth Amendment. The Slaughterhouse Cases gutted the Fourteenth Amendment within five years. The convict leasing system re-enslaved through the punishment exception. The redlining maps drew new lines of exclusion across every American city. The administrative apparatus built the legal person construct — a commercial fiction associated with the living being's name — and called it the same thing as the living being.</w:t>
      </w:r>
    </w:p>
    <w:p>
      <w:pPr>
        <w:spacing w:before="160" w:after="160"/>
        <w:jc w:val="center"/>
      </w:pPr>
      <w:r>
        <w:rPr>
          <w:rFonts w:ascii="Arial" w:hAnsi="Arial"/>
          <w:b/>
          <w:i/>
          <w:color w:val="6B0020"/>
          <w:sz w:val="21"/>
        </w:rPr>
        <w:t>They were sorry for what was done. But here, try this chain on. It's a little lighter to carry.</w:t>
      </w:r>
    </w:p>
    <w:p>
      <w:pPr>
        <w:spacing w:before="0" w:after="160"/>
        <w:jc w:val="both"/>
      </w:pPr>
      <w:r>
        <w:rPr>
          <w:rFonts w:ascii="Arial" w:hAnsi="Arial"/>
          <w:b w:val="0"/>
          <w:i w:val="0"/>
          <w:color w:val="000000"/>
          <w:sz w:val="21"/>
        </w:rPr>
        <w:t>This book is about the chain. Not the lighter version. The mechanism. The hand. And what the living being does when they understand — really understand, in the law's own language, with the law's own evidence — that the hand that seized them never had the right to close.</w:t>
      </w:r>
    </w:p>
    <w:p>
      <w:pPr>
        <w:spacing w:before="200" w:after="200"/>
        <w:jc w:val="center"/>
        <w:pBdr>
          <w:bottom w:val="single" w:sz="4" w:space="1" w:color="1a1a2e"/>
        </w:pBdr>
      </w:pPr>
    </w:p>
    <w:p>
      <w:pPr>
        <w:spacing w:before="0" w:after="160"/>
        <w:jc w:val="center"/>
      </w:pPr>
      <w:r>
        <w:rPr>
          <w:rFonts w:ascii="Arial" w:hAnsi="Arial"/>
          <w:b/>
          <w:i w:val="0"/>
          <w:color w:val="1A1A2E"/>
          <w:sz w:val="28"/>
        </w:rPr>
        <w:t>THE OTHER HAND</w:t>
      </w:r>
    </w:p>
    <w:p>
      <w:pPr>
        <w:spacing w:before="0" w:after="120"/>
        <w:jc w:val="both"/>
      </w:pPr>
      <w:r>
        <w:rPr>
          <w:rFonts w:ascii="Arial" w:hAnsi="Arial"/>
          <w:b w:val="0"/>
          <w:i w:val="0"/>
          <w:color w:val="000000"/>
          <w:sz w:val="21"/>
        </w:rPr>
        <w:t>But there is another hand. And this is the part the enterprise has always known and has always tried to prevent the living being from knowing too.</w:t>
      </w:r>
    </w:p>
    <w:p>
      <w:pPr>
        <w:spacing w:before="0" w:after="120"/>
        <w:jc w:val="both"/>
      </w:pPr>
      <w:r>
        <w:rPr>
          <w:rFonts w:ascii="Arial" w:hAnsi="Arial"/>
          <w:b w:val="0"/>
          <w:i w:val="0"/>
          <w:color w:val="000000"/>
          <w:sz w:val="21"/>
        </w:rPr>
        <w:t>Across every tradition the living being carried through the Middle Passage. Through the plantation. Through the convict lease. Through the redlining. Through every lighter chain offered in place of the freedom that was owed — across all of it, the sacred texts the people carried confirmed a prior claim over the living being that the enterprise's hand could not override.</w:t>
      </w:r>
    </w:p>
    <w:p>
      <w:pPr>
        <w:spacing w:before="120" w:after="120"/>
        <w:ind w:left="504" w:right="504"/>
        <w:jc w:val="both"/>
      </w:pPr>
      <w:r>
        <w:rPr>
          <w:rFonts w:ascii="Arial" w:hAnsi="Arial"/>
          <w:b/>
          <w:i w:val="0"/>
          <w:color w:val="1A003A"/>
          <w:sz w:val="20"/>
        </w:rPr>
        <w:t xml:space="preserve">Isaiah 49:16  </w:t>
      </w:r>
      <w:r>
        <w:rPr>
          <w:rFonts w:ascii="Arial" w:hAnsi="Arial"/>
          <w:b w:val="0"/>
          <w:i/>
          <w:color w:val="222244"/>
          <w:sz w:val="21"/>
        </w:rPr>
        <w:t>Behold, I have engraved you on the palms of my hands.</w:t>
      </w:r>
    </w:p>
    <w:p>
      <w:pPr>
        <w:spacing w:before="80" w:after="160"/>
        <w:jc w:val="both"/>
      </w:pPr>
      <w:r>
        <w:rPr>
          <w:rFonts w:ascii="Arial" w:hAnsi="Arial"/>
          <w:b w:val="0"/>
          <w:i w:val="0"/>
          <w:color w:val="000000"/>
          <w:sz w:val="21"/>
        </w:rPr>
        <w:t>Not written. Engraved. Before any legal instrument recorded you. Before any deed listed your ancestors as property. Before any admiralty manifest classified them as cargo. Before any administrative system assigned them a number. The Creator engraved them in the palms of divine hands. Permanently. Irrevocably. Prior to everything the enterprise built.</w:t>
      </w:r>
    </w:p>
    <w:p>
      <w:pPr>
        <w:spacing w:before="120" w:after="120"/>
        <w:ind w:left="504" w:right="504"/>
        <w:jc w:val="both"/>
      </w:pPr>
      <w:r>
        <w:rPr>
          <w:rFonts w:ascii="Arial" w:hAnsi="Arial"/>
          <w:b/>
          <w:i w:val="0"/>
          <w:color w:val="1A003A"/>
          <w:sz w:val="20"/>
        </w:rPr>
        <w:t xml:space="preserve">John 10:28-29  </w:t>
      </w:r>
      <w:r>
        <w:rPr>
          <w:rFonts w:ascii="Arial" w:hAnsi="Arial"/>
          <w:b w:val="0"/>
          <w:i/>
          <w:color w:val="222244"/>
          <w:sz w:val="21"/>
        </w:rPr>
        <w:t>I give them eternal life, and they shall never perish. No one can snatch them out of my hand. My Father, who has given them to me, is greater than all. No one can snatch them out of my Father's hand.</w:t>
      </w:r>
    </w:p>
    <w:p>
      <w:pPr>
        <w:spacing w:before="80" w:after="120"/>
        <w:jc w:val="both"/>
      </w:pPr>
      <w:r>
        <w:rPr>
          <w:rFonts w:ascii="Arial" w:hAnsi="Arial"/>
          <w:b w:val="0"/>
          <w:i w:val="0"/>
          <w:color w:val="000000"/>
          <w:sz w:val="21"/>
        </w:rPr>
        <w:t>No one. The text does not qualify this. Not the founders who committed treason and wrote a Constitution that protected the slave system. Not the justices who gutted the Fourteenth Amendment. Not the officials who administered the redlining. Not the courts that processed the convict lease convictions. Not the enterprise in any of its forms across any of its centuries.</w:t>
      </w:r>
    </w:p>
    <w:p>
      <w:pPr>
        <w:spacing w:before="80" w:after="160"/>
        <w:jc w:val="center"/>
      </w:pPr>
      <w:r>
        <w:rPr>
          <w:rFonts w:ascii="Arial" w:hAnsi="Arial"/>
          <w:b/>
          <w:i w:val="0"/>
          <w:color w:val="1A003A"/>
          <w:sz w:val="21"/>
        </w:rPr>
        <w:t>No one can snatch what the Creator holds.</w:t>
      </w:r>
    </w:p>
    <w:p>
      <w:pPr>
        <w:spacing w:before="120" w:after="120"/>
        <w:ind w:left="504" w:right="504"/>
        <w:jc w:val="both"/>
      </w:pPr>
      <w:r>
        <w:rPr>
          <w:rFonts w:ascii="Arial" w:hAnsi="Arial"/>
          <w:b/>
          <w:i w:val="0"/>
          <w:color w:val="1A003A"/>
          <w:sz w:val="20"/>
        </w:rPr>
        <w:t xml:space="preserve">Wisdom of Solomon 3:1  </w:t>
      </w:r>
      <w:r>
        <w:rPr>
          <w:rFonts w:ascii="Arial" w:hAnsi="Arial"/>
          <w:b w:val="0"/>
          <w:i/>
          <w:color w:val="222244"/>
          <w:sz w:val="21"/>
        </w:rPr>
        <w:t>But the souls of the righteous are in the hand of God, and no torment will ever touch them.</w:t>
      </w:r>
    </w:p>
    <w:p>
      <w:pPr>
        <w:spacing w:before="80" w:after="120"/>
        <w:jc w:val="both"/>
      </w:pPr>
      <w:r>
        <w:rPr>
          <w:rFonts w:ascii="Arial" w:hAnsi="Arial"/>
          <w:b w:val="0"/>
          <w:i w:val="0"/>
          <w:color w:val="000000"/>
          <w:sz w:val="21"/>
        </w:rPr>
        <w:t>The Wisdom of Solomon is in the Apocrypha — the books the Protestant tradition removed from its canon but that the Catholic, Orthodox, and Ethiopian traditions preserved. The Ethiopian Orthodox Tewahedo Church, which maintains the oldest continuous African Christian tradition, preserves 81 books of scripture — more than any other canon. The books the Western tradition removed when it was deciding which voices would be heard, the African tradition kept.</w:t>
      </w:r>
    </w:p>
    <w:p>
      <w:pPr>
        <w:spacing w:before="0" w:after="80"/>
        <w:jc w:val="both"/>
      </w:pPr>
      <w:r>
        <w:rPr>
          <w:rFonts w:ascii="Arial" w:hAnsi="Arial"/>
          <w:b w:val="0"/>
          <w:i w:val="0"/>
          <w:color w:val="000000"/>
          <w:sz w:val="21"/>
        </w:rPr>
        <w:t>The Book of Enoch — preserved in full only in the Ethiopian Ge'ez language, quoted in the New Testament itself — says:</w:t>
      </w:r>
    </w:p>
    <w:p>
      <w:pPr>
        <w:spacing w:before="120" w:after="120"/>
        <w:ind w:left="504" w:right="504"/>
        <w:jc w:val="both"/>
      </w:pPr>
      <w:r>
        <w:rPr>
          <w:rFonts w:ascii="Arial" w:hAnsi="Arial"/>
          <w:b/>
          <w:i w:val="0"/>
          <w:color w:val="1A003A"/>
          <w:sz w:val="20"/>
        </w:rPr>
        <w:t xml:space="preserve">1 Enoch 47:1-2  </w:t>
      </w:r>
      <w:r>
        <w:rPr>
          <w:rFonts w:ascii="Arial" w:hAnsi="Arial"/>
          <w:b w:val="0"/>
          <w:i/>
          <w:color w:val="222244"/>
          <w:sz w:val="21"/>
        </w:rPr>
        <w:t>In those days the prayers of the righteous ascended into heaven, and the blood of the righteous from the earth before the Lord of Spirits.</w:t>
      </w:r>
    </w:p>
    <w:p>
      <w:pPr>
        <w:spacing w:before="80" w:after="160"/>
        <w:jc w:val="both"/>
      </w:pPr>
      <w:r>
        <w:rPr>
          <w:rFonts w:ascii="Arial" w:hAnsi="Arial"/>
          <w:b w:val="0"/>
          <w:i w:val="0"/>
          <w:color w:val="000000"/>
          <w:sz w:val="21"/>
        </w:rPr>
        <w:t>The blood of the righteous from the earth. The Creator saw it. The Creator heard the prayers. The enterprise tried to silence the text that said so. The African tradition kept it alive across the same centuries the enterprise was shedding the blood the text describes.</w:t>
      </w:r>
    </w:p>
    <w:p>
      <w:pPr>
        <w:spacing w:before="200" w:after="200"/>
        <w:jc w:val="center"/>
        <w:pBdr>
          <w:bottom w:val="single" w:sz="4" w:space="1" w:color="1a1a2e"/>
        </w:pBdr>
      </w:pPr>
    </w:p>
    <w:p>
      <w:pPr>
        <w:spacing w:before="0" w:after="160"/>
        <w:jc w:val="center"/>
      </w:pPr>
      <w:r>
        <w:rPr>
          <w:rFonts w:ascii="Arial" w:hAnsi="Arial"/>
          <w:b/>
          <w:i w:val="0"/>
          <w:color w:val="1A1A2E"/>
          <w:sz w:val="28"/>
        </w:rPr>
        <w:t>THE FOUNDERS' CONFESSION</w:t>
      </w:r>
    </w:p>
    <w:p>
      <w:pPr>
        <w:spacing w:before="0" w:after="120"/>
        <w:jc w:val="both"/>
      </w:pPr>
      <w:r>
        <w:rPr>
          <w:rFonts w:ascii="Arial" w:hAnsi="Arial"/>
          <w:b w:val="0"/>
          <w:i w:val="0"/>
          <w:color w:val="000000"/>
          <w:sz w:val="21"/>
        </w:rPr>
        <w:t>And then there is the strangest part of the entire history. The criminals who founded the enterprise — who committed treason against the Crown, who wrote a Constitution that protected the slave system, who constitutionalized the admiralty courts that would govern the maritime commerce of human bondage — wrote one sentence that confessed everything the sacred texts had always said.</w:t>
      </w:r>
    </w:p>
    <w:p>
      <w:pPr>
        <w:spacing w:before="160" w:after="160"/>
        <w:ind w:left="216" w:right="216"/>
        <w:jc w:val="center"/>
      </w:pPr>
      <w:r>
        <w:rPr>
          <w:rFonts w:ascii="Arial" w:hAnsi="Arial"/>
          <w:b w:val="0"/>
          <w:i/>
          <w:color w:val="1A003A"/>
          <w:sz w:val="24"/>
        </w:rPr>
        <w:t>We hold these truths to be self-evident, that all men are created equal, that they are endowed by their Creator with certain unalienable Rights, that among these are Life, Liberty and the pursuit of Happiness.</w:t>
      </w:r>
    </w:p>
    <w:p>
      <w:pPr>
        <w:spacing w:before="0" w:after="160"/>
        <w:jc w:val="center"/>
      </w:pPr>
      <w:r>
        <w:rPr>
          <w:rFonts w:ascii="Arial" w:hAnsi="Arial"/>
          <w:b w:val="0"/>
          <w:i/>
          <w:color w:val="555577"/>
          <w:sz w:val="18"/>
        </w:rPr>
        <w:t>Declaration of Independence, July 4, 1776</w:t>
      </w:r>
    </w:p>
    <w:p>
      <w:pPr>
        <w:spacing w:before="0" w:after="120"/>
        <w:jc w:val="both"/>
      </w:pPr>
      <w:r>
        <w:rPr>
          <w:rFonts w:ascii="Arial" w:hAnsi="Arial"/>
          <w:b w:val="0"/>
          <w:i w:val="0"/>
          <w:color w:val="000000"/>
          <w:sz w:val="21"/>
        </w:rPr>
        <w:t>Endowed by their Creator. They wrote it. In their own foundational document. The document they wrote to justify their own liberation from the Crown required them to invoke an authority higher than the Crown — and the only authority higher than the Crown that their tradition recognized was the Creator whose hand Isaiah said had engraved the living being before any king existed.</w:t>
      </w:r>
    </w:p>
    <w:p>
      <w:pPr>
        <w:spacing w:before="0" w:after="120"/>
        <w:jc w:val="both"/>
      </w:pPr>
      <w:r>
        <w:rPr>
          <w:rFonts w:ascii="Arial" w:hAnsi="Arial"/>
          <w:b w:val="0"/>
          <w:i w:val="0"/>
          <w:color w:val="000000"/>
          <w:sz w:val="21"/>
        </w:rPr>
        <w:t>They could not contain what they wrote. The enslaved heard it. Frederick Douglass used it. Harriet Tubman lived it. The civil rights movement stood on it. And every generation of living beings who have demanded that America honor its own stated principles has been holding the founders to a confession the founders made about whose hand actually holds what they claimed.</w:t>
      </w:r>
    </w:p>
    <w:p>
      <w:pPr>
        <w:spacing w:before="160" w:after="160"/>
        <w:jc w:val="center"/>
      </w:pPr>
      <w:r>
        <w:rPr>
          <w:rFonts w:ascii="Arial" w:hAnsi="Arial"/>
          <w:b/>
          <w:i/>
          <w:color w:val="1A1A2E"/>
          <w:sz w:val="21"/>
        </w:rPr>
        <w:t>The enterprise acknowledged the Creator as the source of rights. The sacred texts confirm the Creator holds the living being. The enterprise's hand seized what the Creator's hand already held.</w:t>
      </w:r>
    </w:p>
    <w:p>
      <w:pPr>
        <w:spacing w:before="200" w:after="200"/>
        <w:jc w:val="center"/>
        <w:pBdr>
          <w:bottom w:val="single" w:sz="4" w:space="1" w:color="1a1a2e"/>
        </w:pBdr>
      </w:pPr>
    </w:p>
    <w:p>
      <w:pPr>
        <w:spacing w:before="0" w:after="160"/>
        <w:jc w:val="center"/>
      </w:pPr>
      <w:r>
        <w:rPr>
          <w:rFonts w:ascii="Arial" w:hAnsi="Arial"/>
          <w:b/>
          <w:i w:val="0"/>
          <w:color w:val="1A1A2E"/>
          <w:sz w:val="28"/>
        </w:rPr>
        <w:t>WHAT THIS BOOK IS</w:t>
      </w:r>
    </w:p>
    <w:p>
      <w:pPr>
        <w:spacing w:before="0" w:after="120"/>
        <w:jc w:val="both"/>
      </w:pPr>
      <w:r>
        <w:rPr>
          <w:rFonts w:ascii="Arial" w:hAnsi="Arial"/>
          <w:b w:val="0"/>
          <w:i w:val="0"/>
          <w:color w:val="000000"/>
          <w:sz w:val="21"/>
        </w:rPr>
        <w:t>This book is not a rejection of law. It is a demand that the law honor what the law itself said about where authority comes from and who holds the living being.</w:t>
      </w:r>
    </w:p>
    <w:p>
      <w:pPr>
        <w:spacing w:before="0" w:after="120"/>
        <w:jc w:val="both"/>
      </w:pPr>
      <w:r>
        <w:rPr>
          <w:rFonts w:ascii="Arial" w:hAnsi="Arial"/>
          <w:b w:val="0"/>
          <w:i w:val="0"/>
          <w:color w:val="000000"/>
          <w:sz w:val="21"/>
        </w:rPr>
        <w:t>It is a documentation of the enterprise — the criminal founding, the commercial charter, the maritime infrastructure of slavery, the corrupted corrections, the commercial tribunal, the corporate State, the crimes against humanity, and the ongoing enforcement that continues to the present day in Athens and in every Athens across this country.</w:t>
      </w:r>
    </w:p>
    <w:p>
      <w:pPr>
        <w:spacing w:before="0" w:after="120"/>
        <w:jc w:val="both"/>
      </w:pPr>
      <w:r>
        <w:rPr>
          <w:rFonts w:ascii="Arial" w:hAnsi="Arial"/>
          <w:b w:val="0"/>
          <w:i w:val="0"/>
          <w:color w:val="000000"/>
          <w:sz w:val="21"/>
        </w:rPr>
        <w:t>It is a reclamation of the vocabulary. The Counter-Canon — eight volumes of the enterprise's legal language taken back word by word and returned to its fullest and most honest meaning. Person. Sovereign. Citizen. Contract. Crime. Jurisdiction. Rights. Land. Sacred. Religion. Justice. Emancipation. Every word the enterprise used against the living being, examined in the law's own cases, its own statutes, its own constitutional provisions, and its own foundational admissions — and returned to what it always meant before the enterprise redefined it in the service of its own interests.</w:t>
      </w:r>
    </w:p>
    <w:p>
      <w:pPr>
        <w:spacing w:before="0" w:after="120"/>
        <w:jc w:val="both"/>
      </w:pPr>
      <w:r>
        <w:rPr>
          <w:rFonts w:ascii="Arial" w:hAnsi="Arial"/>
          <w:b w:val="0"/>
          <w:i w:val="0"/>
          <w:color w:val="000000"/>
          <w:sz w:val="21"/>
        </w:rPr>
        <w:t>It is a toolkit. Seven specific defenses for seven specific categories of encounter between the living being and the enterprise's enforcement apparatus: the unlawful stop, the tax dispute, the court jurisdiction challenge, the religious exemption claim, the economic rights assertion, the housing discrimination case, and the ancestral land claim. Each toolkit grounded in the law's own authorities. Each deployable by the living being who reads it.</w:t>
      </w:r>
    </w:p>
    <w:p>
      <w:pPr>
        <w:spacing w:before="0" w:after="120"/>
        <w:jc w:val="both"/>
      </w:pPr>
      <w:r>
        <w:rPr>
          <w:rFonts w:ascii="Arial" w:hAnsi="Arial"/>
          <w:b w:val="0"/>
          <w:i w:val="0"/>
          <w:color w:val="000000"/>
          <w:sz w:val="21"/>
        </w:rPr>
        <w:t>It is a jurisprudential indictment. Of the national enterprise. Of the specific enterprise operating in Athens, Georgia on Muscogee Creek land built by enslaved labor, integrated by federal force 93 years after the Constitution promised equality, and continuing to produce racially disparate outcomes today while issuing lighter chains in place of remedy.</w:t>
      </w:r>
    </w:p>
    <w:p>
      <w:pPr>
        <w:spacing w:before="0" w:after="200"/>
        <w:jc w:val="both"/>
      </w:pPr>
      <w:r>
        <w:rPr>
          <w:rFonts w:ascii="Arial" w:hAnsi="Arial"/>
          <w:b w:val="0"/>
          <w:i w:val="0"/>
          <w:color w:val="000000"/>
          <w:sz w:val="21"/>
        </w:rPr>
        <w:t>And it is a theological statement. The Two Hands Doctrine. The documentation across Isaiah, John, the Wisdom of Solomon, and the Ethiopian canon that the Creator's hand holds the living being prior to and superior to any claim the enterprise has ever made. That the founders' own confession in the Declaration acknowledged this. That RFRA makes it legally cognizable. And that the living being who stands before any court or any agency holding this documentation stands on ground the enterprise cannot legitimately claim.</w:t>
      </w:r>
    </w:p>
    <w:p>
      <w:pPr>
        <w:spacing w:before="200" w:after="200"/>
        <w:jc w:val="center"/>
        <w:pBdr>
          <w:bottom w:val="single" w:sz="4" w:space="1" w:color="1a1a2e"/>
        </w:pBdr>
      </w:pPr>
    </w:p>
    <w:p>
      <w:pPr>
        <w:spacing w:before="0" w:after="160"/>
        <w:jc w:val="center"/>
      </w:pPr>
      <w:r>
        <w:rPr>
          <w:rFonts w:ascii="Arial" w:hAnsi="Arial"/>
          <w:b/>
          <w:i w:val="0"/>
          <w:color w:val="1A1A2E"/>
          <w:sz w:val="28"/>
        </w:rPr>
        <w:t>THE LIVING BEING WHO READS THIS</w:t>
      </w:r>
    </w:p>
    <w:p>
      <w:pPr>
        <w:spacing w:before="0" w:after="120"/>
        <w:jc w:val="both"/>
      </w:pPr>
      <w:r>
        <w:rPr>
          <w:rFonts w:ascii="Arial" w:hAnsi="Arial"/>
          <w:b w:val="0"/>
          <w:i w:val="0"/>
          <w:color w:val="000000"/>
          <w:sz w:val="21"/>
        </w:rPr>
        <w:t>If you are reading this book, you already know something is wrong with the system. You have felt the hand. Maybe in a traffic stop that felt like something more than traffic enforcement. Maybe in a court proceeding where the outcome seemed decided before you arrived. Maybe in a tax notice you could not understand, written in a language designed to be incomprehensible to the people it governs. Maybe in the deed your family does not have for land your family has worked for generations. Maybe in the apology the institution offered that changed nothing about who holds the land it sits on.</w:t>
      </w:r>
    </w:p>
    <w:p>
      <w:pPr>
        <w:spacing w:before="0" w:after="120"/>
        <w:jc w:val="both"/>
      </w:pPr>
      <w:r>
        <w:rPr>
          <w:rFonts w:ascii="Arial" w:hAnsi="Arial"/>
          <w:b w:val="0"/>
          <w:i w:val="0"/>
          <w:color w:val="000000"/>
          <w:sz w:val="21"/>
        </w:rPr>
        <w:t>You felt the hand. This book names it. And then it does something the hand did not expect: it names the other hand. The one that was there first. The one the founders confessed they could not override. The one from which, as the text says, no one can snatch what it holds.</w:t>
      </w:r>
    </w:p>
    <w:p>
      <w:pPr>
        <w:spacing w:before="0" w:after="120"/>
        <w:jc w:val="both"/>
      </w:pPr>
      <w:r>
        <w:rPr>
          <w:rFonts w:ascii="Arial" w:hAnsi="Arial"/>
          <w:b w:val="0"/>
          <w:i w:val="0"/>
          <w:color w:val="000000"/>
          <w:sz w:val="21"/>
        </w:rPr>
        <w:t>You are not reading this book to become a lawyer. You are reading it because the law that governs you belongs to you — and you were never supposed to know that. The jargon was designed to keep you out. The complexity was designed to make you dependent. The apologies were designed to release pressure without releasing the grip.</w:t>
      </w:r>
    </w:p>
    <w:p>
      <w:pPr>
        <w:spacing w:before="0" w:after="200"/>
        <w:jc w:val="both"/>
      </w:pPr>
      <w:r>
        <w:rPr>
          <w:rFonts w:ascii="Arial" w:hAnsi="Arial"/>
          <w:b w:val="0"/>
          <w:i w:val="0"/>
          <w:color w:val="000000"/>
          <w:sz w:val="21"/>
        </w:rPr>
        <w:t>This book is designed to put the grip in plain language. The law's own language. The law's own cases. The law's own evidence. The law's own foundational admissions about whose hand actually holds what it claims.</w:t>
      </w:r>
    </w:p>
    <w:p>
      <w:pPr>
        <w:spacing w:before="120" w:after="120"/>
        <w:jc w:val="center"/>
      </w:pPr>
      <w:r>
        <w:rPr>
          <w:rFonts w:ascii="Arial" w:hAnsi="Arial"/>
          <w:b/>
          <w:i/>
          <w:color w:val="7A5C00"/>
          <w:sz w:val="26"/>
        </w:rPr>
        <w:t>Nothing is absolute but Truth.</w:t>
      </w:r>
    </w:p>
    <w:p>
      <w:pPr>
        <w:spacing w:before="80" w:after="200"/>
        <w:jc w:val="both"/>
      </w:pPr>
      <w:r>
        <w:rPr>
          <w:rFonts w:ascii="Arial" w:hAnsi="Arial"/>
          <w:b w:val="0"/>
          <w:i w:val="0"/>
          <w:color w:val="000000"/>
          <w:sz w:val="21"/>
        </w:rPr>
        <w:t>The enterprise built its entire apparatus on language. On definitions. On words that embedded assumptions of power so deeply that most people never thought to question them. This book questions every one of them. One word at a time. In the law's own language. With the law's own evidence. Holding the system to what it said about itself at its founding — and what the sacred texts said about the living being long before any founding.</w:t>
      </w:r>
    </w:p>
    <w:p>
      <w:pPr>
        <w:spacing w:before="120" w:after="80"/>
        <w:jc w:val="center"/>
      </w:pPr>
      <w:r>
        <w:rPr>
          <w:rFonts w:ascii="Arial" w:hAnsi="Arial"/>
          <w:b/>
          <w:i/>
          <w:color w:val="1A003A"/>
          <w:sz w:val="24"/>
        </w:rPr>
        <w:t>The hand that engraved you was not the hand that seized you.</w:t>
      </w:r>
    </w:p>
    <w:p>
      <w:pPr>
        <w:spacing w:before="0" w:after="80"/>
        <w:jc w:val="center"/>
      </w:pPr>
      <w:r>
        <w:rPr>
          <w:rFonts w:ascii="Arial" w:hAnsi="Arial"/>
          <w:b/>
          <w:i/>
          <w:color w:val="1A1A2E"/>
          <w:sz w:val="24"/>
        </w:rPr>
        <w:t>Know which hand holds you.</w:t>
      </w:r>
    </w:p>
    <w:p>
      <w:pPr>
        <w:spacing w:before="0" w:after="80"/>
        <w:jc w:val="center"/>
      </w:pPr>
      <w:r>
        <w:rPr>
          <w:rFonts w:ascii="Arial" w:hAnsi="Arial"/>
          <w:b/>
          <w:i/>
          <w:color w:val="7A5C00"/>
          <w:sz w:val="24"/>
        </w:rPr>
        <w:t>Then act accordingly.</w:t>
      </w:r>
    </w:p>
    <w:p>
      <w:pPr>
        <w:spacing w:before="200" w:after="120"/>
        <w:jc w:val="center"/>
        <w:pBdr>
          <w:bottom w:val="single" w:sz="4" w:space="1" w:color="1a1a2e"/>
        </w:pBdr>
      </w:pPr>
    </w:p>
    <w:p>
      <w:pPr>
        <w:spacing w:before="80" w:after="40"/>
        <w:jc w:val="center"/>
      </w:pPr>
      <w:r>
        <w:rPr>
          <w:rFonts w:ascii="Arial" w:hAnsi="Arial"/>
          <w:b/>
          <w:i w:val="0"/>
          <w:color w:val="1A1A2E"/>
          <w:sz w:val="24"/>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555577"/>
          <w:sz w:val="18"/>
        </w:rPr>
        <w:t>Author: The Sovereign Self: Reclaiming Divine Intent in Law and Governance</w:t>
      </w:r>
    </w:p>
    <w:p>
      <w:pPr>
        <w:spacing w:before="0" w:after="160"/>
        <w:jc w:val="center"/>
      </w:pPr>
      <w:r>
        <w:rPr>
          <w:rFonts w:ascii="Arial" w:hAnsi="Arial"/>
          <w:b w:val="0"/>
          <w:i/>
          <w:color w:val="555577"/>
          <w:sz w:val="18"/>
        </w:rPr>
        <w:t>Founder: The Counter-Canon Project  |  Architect: The Odyssey-1 System</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