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i w:val="0"/>
          <w:color w:val="1A1A2E"/>
          <w:sz w:val="40"/>
        </w:rPr>
        <w:t>THE TWO HANDS DOCTRINE</w:t>
      </w:r>
    </w:p>
    <w:p>
      <w:pPr>
        <w:spacing w:before="0" w:after="40"/>
        <w:jc w:val="center"/>
      </w:pPr>
      <w:r>
        <w:rPr>
          <w:rFonts w:ascii="Arial" w:hAnsi="Arial"/>
          <w:b w:val="0"/>
          <w:i/>
          <w:color w:val="222244"/>
          <w:sz w:val="22"/>
        </w:rPr>
        <w:t>A Theological and Jurisprudential Statement</w:t>
      </w:r>
    </w:p>
    <w:p>
      <w:pPr>
        <w:spacing w:before="0" w:after="20"/>
        <w:jc w:val="center"/>
      </w:pPr>
      <w:r>
        <w:rPr>
          <w:rFonts w:ascii="Arial" w:hAnsi="Arial"/>
          <w:b w:val="0"/>
          <w:i/>
          <w:color w:val="222244"/>
          <w:sz w:val="20"/>
        </w:rPr>
        <w:t>Grounded in Sacred Texts, Natural Law, and the Foundational Admissions</w:t>
      </w:r>
    </w:p>
    <w:p>
      <w:pPr>
        <w:spacing w:before="0" w:after="160"/>
        <w:jc w:val="center"/>
      </w:pPr>
      <w:r>
        <w:rPr>
          <w:rFonts w:ascii="Arial" w:hAnsi="Arial"/>
          <w:b w:val="0"/>
          <w:i/>
          <w:color w:val="222244"/>
          <w:sz w:val="20"/>
        </w:rPr>
        <w:t>of the American Constitutional Order</w:t>
      </w:r>
    </w:p>
    <w:p>
      <w:pPr>
        <w:spacing w:before="80" w:after="120"/>
        <w:jc w:val="center"/>
        <w:pBdr>
          <w:bottom w:val="single" w:sz="10" w:space="1" w:color="1a1a2e"/>
        </w:pBdr>
      </w:pPr>
    </w:p>
    <w:p>
      <w:pPr>
        <w:spacing w:before="120" w:after="120"/>
        <w:ind w:left="504" w:right="504"/>
        <w:jc w:val="both"/>
      </w:pPr>
      <w:r>
        <w:rPr>
          <w:rFonts w:ascii="Arial" w:hAnsi="Arial"/>
          <w:b/>
          <w:i w:val="0"/>
          <w:color w:val="1A003A"/>
          <w:sz w:val="20"/>
        </w:rPr>
        <w:t xml:space="preserve">Isaiah 49:16  </w:t>
      </w:r>
      <w:r>
        <w:rPr>
          <w:rFonts w:ascii="Arial" w:hAnsi="Arial"/>
          <w:b w:val="0"/>
          <w:i/>
          <w:color w:val="222244"/>
          <w:sz w:val="21"/>
        </w:rPr>
        <w:t>Behold, I have engraved you on the palms of my hands.</w:t>
      </w:r>
    </w:p>
    <w:p>
      <w:pPr>
        <w:spacing w:before="120" w:after="120"/>
        <w:ind w:left="504" w:right="504"/>
        <w:jc w:val="both"/>
      </w:pPr>
      <w:r>
        <w:rPr>
          <w:rFonts w:ascii="Arial" w:hAnsi="Arial"/>
          <w:b/>
          <w:i w:val="0"/>
          <w:color w:val="1A003A"/>
          <w:sz w:val="20"/>
        </w:rPr>
        <w:t xml:space="preserve">John 10:28-29  </w:t>
      </w:r>
      <w:r>
        <w:rPr>
          <w:rFonts w:ascii="Arial" w:hAnsi="Arial"/>
          <w:b w:val="0"/>
          <w:i/>
          <w:color w:val="222244"/>
          <w:sz w:val="21"/>
        </w:rPr>
        <w:t>No one can snatch them out of my hand. My Father, who has given them to me, is greater than all. No one can snatch them out of my Father's hand.</w:t>
      </w:r>
    </w:p>
    <w:p>
      <w:pPr>
        <w:spacing w:before="120" w:after="120"/>
        <w:ind w:left="504" w:right="504"/>
        <w:jc w:val="both"/>
      </w:pPr>
      <w:r>
        <w:rPr>
          <w:rFonts w:ascii="Arial" w:hAnsi="Arial"/>
          <w:b/>
          <w:i w:val="0"/>
          <w:color w:val="1A003A"/>
          <w:sz w:val="20"/>
        </w:rPr>
        <w:t xml:space="preserve">Wisdom of Solomon 3:1  </w:t>
      </w:r>
      <w:r>
        <w:rPr>
          <w:rFonts w:ascii="Arial" w:hAnsi="Arial"/>
          <w:b w:val="0"/>
          <w:i/>
          <w:color w:val="222244"/>
          <w:sz w:val="21"/>
        </w:rPr>
        <w:t>But the souls of the righteous are in the hand of God, and no torment will ever touch them.</w:t>
      </w:r>
    </w:p>
    <w:p>
      <w:pPr>
        <w:spacing w:before="120" w:after="120"/>
        <w:jc w:val="center"/>
        <w:pBdr>
          <w:bottom w:val="single" w:sz="4" w:space="1" w:color="1a1a2e"/>
        </w:pBdr>
      </w:pPr>
    </w:p>
    <w:p>
      <w:pPr>
        <w:spacing w:before="80" w:after="40"/>
        <w:jc w:val="center"/>
      </w:pPr>
      <w:r>
        <w:rPr>
          <w:rFonts w:ascii="Arial" w:hAnsi="Arial"/>
          <w:b/>
          <w:i w:val="0"/>
          <w:color w:val="1A1A2E"/>
          <w:sz w:val="22"/>
        </w:rPr>
        <w:t>Rickey Allan Howard</w:t>
      </w:r>
    </w:p>
    <w:p>
      <w:pPr>
        <w:spacing w:before="0" w:after="40"/>
        <w:jc w:val="center"/>
      </w:pPr>
      <w:r>
        <w:rPr>
          <w:rFonts w:ascii="Arial" w:hAnsi="Arial"/>
          <w:b w:val="0"/>
          <w:i w:val="0"/>
          <w:color w:val="555577"/>
          <w:sz w:val="20"/>
        </w:rPr>
        <w:t>Athens, Georgia  |  2026</w:t>
      </w:r>
    </w:p>
    <w:p>
      <w:pPr>
        <w:spacing w:before="0" w:after="40"/>
        <w:jc w:val="center"/>
      </w:pPr>
      <w:r>
        <w:rPr>
          <w:rFonts w:ascii="Arial" w:hAnsi="Arial"/>
          <w:b w:val="0"/>
          <w:i/>
          <w:color w:val="555577"/>
          <w:sz w:val="18"/>
        </w:rPr>
        <w:t>Supplement to the Doctrine of Pre-Political Sovereign Being</w:t>
      </w:r>
    </w:p>
    <w:p>
      <w:pPr>
        <w:spacing w:before="0" w:after="160"/>
        <w:jc w:val="center"/>
      </w:pPr>
      <w:r>
        <w:rPr>
          <w:rFonts w:ascii="Arial" w:hAnsi="Arial"/>
          <w:b w:val="0"/>
          <w:i/>
          <w:color w:val="555577"/>
          <w:sz w:val="18"/>
        </w:rPr>
        <w:t>Part of the Odyssey-1 System</w:t>
      </w:r>
    </w:p>
    <w:p>
      <w:r>
        <w:br w:type="page"/>
      </w:r>
    </w:p>
    <w:p>
      <w:pPr>
        <w:spacing w:before="0" w:after="120"/>
        <w:jc w:val="center"/>
      </w:pPr>
      <w:r>
        <w:rPr>
          <w:rFonts w:ascii="Arial" w:hAnsi="Arial"/>
          <w:b/>
          <w:i w:val="0"/>
          <w:color w:val="1A1A2E"/>
          <w:sz w:val="22"/>
        </w:rPr>
        <w:t>PREAMBLE</w:t>
      </w:r>
    </w:p>
    <w:p>
      <w:pPr>
        <w:spacing w:before="0" w:after="120"/>
        <w:jc w:val="both"/>
      </w:pPr>
      <w:r>
        <w:rPr>
          <w:rFonts w:ascii="Arial" w:hAnsi="Arial"/>
          <w:b w:val="0"/>
          <w:i w:val="0"/>
          <w:color w:val="000000"/>
          <w:sz w:val="21"/>
        </w:rPr>
        <w:t>The Doctrine of Pre-Political Sovereign Being establishes that the living being's existence, dignity, and rights precede and are independent of any State. The Founding Crime Treatise establishes that the State's claim to authority over the living being rests on a foundation that is criminally derived, historically exclusive, and structurally compromised. The Counter-Canon reclaims the legal vocabulary the enterprise used to govern the living being and returns it to its fullest and most honest meaning.</w:t>
      </w:r>
    </w:p>
    <w:p>
      <w:pPr>
        <w:spacing w:before="0" w:after="120"/>
        <w:jc w:val="both"/>
      </w:pPr>
      <w:r>
        <w:rPr>
          <w:rFonts w:ascii="Arial" w:hAnsi="Arial"/>
          <w:b w:val="0"/>
          <w:i w:val="0"/>
          <w:color w:val="000000"/>
          <w:sz w:val="21"/>
        </w:rPr>
        <w:t>The Two Hands Doctrine completes the architecture. It answers the question that all of the foregoing analysis has been building toward: if the enterprise's hand does not have legitimate authority over the living being — whose hand does?</w:t>
      </w:r>
    </w:p>
    <w:p>
      <w:pPr>
        <w:spacing w:before="0" w:after="120"/>
        <w:jc w:val="both"/>
      </w:pPr>
      <w:r>
        <w:rPr>
          <w:rFonts w:ascii="Arial" w:hAnsi="Arial"/>
          <w:b w:val="0"/>
          <w:i w:val="0"/>
          <w:color w:val="000000"/>
          <w:sz w:val="21"/>
        </w:rPr>
        <w:t>The answer is not new. It is older than the enterprise. Older than the Constitution. Older than Roman law. Older than the admiralty courts that classified human beings as maritime cargo. It is written in Isaiah. Confirmed in John. Preserved in the Wisdom of Solomon. Carried through the Middle Passage in the memory of a people who had no other property to carry. Confirmed in the Book of Enoch, preserved in full only in the Ethiopian canon that the African tradition protected when the Western tradition tried to erase it.</w:t>
      </w:r>
    </w:p>
    <w:p>
      <w:pPr>
        <w:spacing w:before="0" w:after="200"/>
        <w:jc w:val="center"/>
      </w:pPr>
      <w:r>
        <w:rPr>
          <w:rFonts w:ascii="Arial" w:hAnsi="Arial"/>
          <w:b w:val="0"/>
          <w:i/>
          <w:color w:val="222244"/>
          <w:sz w:val="21"/>
        </w:rPr>
        <w:t>And then — in the ultimate irony of the enterprise's history — acknowledged by the criminals who founded it in the document they wrote to justify their treason: all men are endowed by their Creator with certain unalienable rights.</w:t>
      </w:r>
    </w:p>
    <w:p>
      <w:r>
        <w:br w:type="page"/>
      </w:r>
    </w:p>
    <w:p>
      <w:pPr>
        <w:spacing w:before="0" w:after="160"/>
        <w:jc w:val="center"/>
      </w:pPr>
      <w:r>
        <w:rPr>
          <w:rFonts w:ascii="Arial" w:hAnsi="Arial"/>
          <w:b/>
          <w:i w:val="0"/>
          <w:color w:val="1A1A2E"/>
          <w:sz w:val="22"/>
        </w:rPr>
        <w:t>TABLE OF CONTENTS</w:t>
      </w:r>
    </w:p>
    <w:p>
      <w:pPr>
        <w:spacing w:before="40" w:after="40"/>
        <w:ind w:left="288"/>
        <w:jc w:val="left"/>
      </w:pPr>
      <w:r>
        <w:rPr>
          <w:rFonts w:ascii="Arial" w:hAnsi="Arial"/>
          <w:b w:val="0"/>
          <w:i w:val="0"/>
          <w:color w:val="000000"/>
          <w:sz w:val="21"/>
        </w:rPr>
        <w:t>Preamble</w:t>
      </w:r>
    </w:p>
    <w:p>
      <w:pPr>
        <w:spacing w:before="40" w:after="40"/>
        <w:ind w:left="288"/>
        <w:jc w:val="left"/>
      </w:pPr>
      <w:r>
        <w:rPr>
          <w:rFonts w:ascii="Arial" w:hAnsi="Arial"/>
          <w:b w:val="0"/>
          <w:i w:val="0"/>
          <w:color w:val="000000"/>
          <w:sz w:val="21"/>
        </w:rPr>
        <w:t>Section One: The First Hand — The Etymology of Seizure</w:t>
      </w:r>
    </w:p>
    <w:p>
      <w:pPr>
        <w:spacing w:before="40" w:after="40"/>
        <w:ind w:left="288"/>
        <w:jc w:val="left"/>
      </w:pPr>
      <w:r>
        <w:rPr>
          <w:rFonts w:ascii="Arial" w:hAnsi="Arial"/>
          <w:b w:val="0"/>
          <w:i w:val="0"/>
          <w:color w:val="000000"/>
          <w:sz w:val="21"/>
        </w:rPr>
        <w:t>Section Two: The Second Hand — The Sacred Textual Record</w:t>
      </w:r>
    </w:p>
    <w:p>
      <w:pPr>
        <w:spacing w:before="40" w:after="40"/>
        <w:ind w:left="288"/>
        <w:jc w:val="left"/>
      </w:pPr>
      <w:r>
        <w:rPr>
          <w:rFonts w:ascii="Arial" w:hAnsi="Arial"/>
          <w:b w:val="0"/>
          <w:i w:val="0"/>
          <w:color w:val="000000"/>
          <w:sz w:val="21"/>
        </w:rPr>
        <w:t>Section Three: The Ethiopian Canon — The African Tradition's Witness</w:t>
      </w:r>
    </w:p>
    <w:p>
      <w:pPr>
        <w:spacing w:before="40" w:after="40"/>
        <w:ind w:left="288"/>
        <w:jc w:val="left"/>
      </w:pPr>
      <w:r>
        <w:rPr>
          <w:rFonts w:ascii="Arial" w:hAnsi="Arial"/>
          <w:b w:val="0"/>
          <w:i w:val="0"/>
          <w:color w:val="000000"/>
          <w:sz w:val="21"/>
        </w:rPr>
        <w:t>Section Four: The Founders' Admission — The Declaration as Theological Concession</w:t>
      </w:r>
    </w:p>
    <w:p>
      <w:pPr>
        <w:spacing w:before="40" w:after="40"/>
        <w:ind w:left="288"/>
        <w:jc w:val="left"/>
      </w:pPr>
      <w:r>
        <w:rPr>
          <w:rFonts w:ascii="Arial" w:hAnsi="Arial"/>
          <w:b w:val="0"/>
          <w:i w:val="0"/>
          <w:color w:val="000000"/>
          <w:sz w:val="21"/>
        </w:rPr>
        <w:t>Section Five: The Jurisprudential Statement — Two Jurisdictions</w:t>
      </w:r>
    </w:p>
    <w:p>
      <w:pPr>
        <w:spacing w:before="40" w:after="40"/>
        <w:ind w:left="288"/>
        <w:jc w:val="left"/>
      </w:pPr>
      <w:r>
        <w:rPr>
          <w:rFonts w:ascii="Arial" w:hAnsi="Arial"/>
          <w:b w:val="0"/>
          <w:i w:val="0"/>
          <w:color w:val="000000"/>
          <w:sz w:val="21"/>
        </w:rPr>
        <w:t>Section Six: RFRA as the Legal Bridge</w:t>
      </w:r>
    </w:p>
    <w:p>
      <w:pPr>
        <w:spacing w:before="40" w:after="40"/>
        <w:ind w:left="288"/>
        <w:jc w:val="left"/>
      </w:pPr>
      <w:r>
        <w:rPr>
          <w:rFonts w:ascii="Arial" w:hAnsi="Arial"/>
          <w:b w:val="0"/>
          <w:i w:val="0"/>
          <w:color w:val="000000"/>
          <w:sz w:val="21"/>
        </w:rPr>
        <w:t>Section Seven: The Doctrine Stated — Twelve Propositions</w:t>
      </w:r>
    </w:p>
    <w:p>
      <w:pPr>
        <w:spacing w:before="40" w:after="40"/>
        <w:ind w:left="288"/>
        <w:jc w:val="left"/>
      </w:pPr>
      <w:r>
        <w:rPr>
          <w:rFonts w:ascii="Arial" w:hAnsi="Arial"/>
          <w:b w:val="0"/>
          <w:i w:val="0"/>
          <w:color w:val="000000"/>
          <w:sz w:val="21"/>
        </w:rPr>
        <w:t>Section Eight: The Living Being's Standing Under the Two Hands Doctrine</w:t>
      </w:r>
    </w:p>
    <w:p>
      <w:pPr>
        <w:spacing w:before="40" w:after="40"/>
        <w:ind w:left="288"/>
        <w:jc w:val="left"/>
      </w:pPr>
      <w:r>
        <w:rPr>
          <w:rFonts w:ascii="Arial" w:hAnsi="Arial"/>
          <w:b w:val="0"/>
          <w:i w:val="0"/>
          <w:color w:val="000000"/>
          <w:sz w:val="21"/>
        </w:rPr>
        <w:t>Table of Sacred and Legal Authorities</w:t>
      </w:r>
    </w:p>
    <w:p>
      <w:r>
        <w:br w:type="page"/>
      </w:r>
    </w:p>
    <w:p>
      <w:pPr>
        <w:spacing w:before="320" w:after="80"/>
        <w:jc w:val="left"/>
        <w:pBdr>
          <w:bottom w:val="single" w:sz="5" w:space="1" w:color="1a1a2e"/>
        </w:pBdr>
      </w:pPr>
      <w:r>
        <w:rPr>
          <w:rFonts w:ascii="Arial" w:hAnsi="Arial"/>
          <w:b/>
          <w:i w:val="0"/>
          <w:color w:val="6B0020"/>
          <w:sz w:val="24"/>
        </w:rPr>
        <w:t>SECTION ONE: THE FIRST HAND</w:t>
      </w:r>
    </w:p>
    <w:p>
      <w:pPr>
        <w:spacing w:before="200" w:after="60"/>
        <w:jc w:val="left"/>
      </w:pPr>
      <w:r>
        <w:rPr>
          <w:rFonts w:ascii="Arial" w:hAnsi="Arial"/>
          <w:b/>
          <w:i w:val="0"/>
          <w:color w:val="222244"/>
          <w:sz w:val="22"/>
        </w:rPr>
        <w:t>The Etymology of Seizure</w:t>
      </w:r>
    </w:p>
    <w:p>
      <w:pPr>
        <w:spacing w:before="0" w:after="120"/>
        <w:jc w:val="both"/>
      </w:pPr>
      <w:r>
        <w:rPr>
          <w:rFonts w:ascii="Arial" w:hAnsi="Arial"/>
          <w:b w:val="0"/>
          <w:i w:val="0"/>
          <w:color w:val="000000"/>
          <w:sz w:val="21"/>
        </w:rPr>
        <w:t>The word emancipation carries within its Latin syllables the entire history of what it was supposed to end.</w:t>
      </w:r>
    </w:p>
    <w:p>
      <w:pPr>
        <w:spacing w:before="160" w:after="80"/>
        <w:jc w:val="center"/>
      </w:pPr>
      <w:r>
        <w:rPr>
          <w:rFonts w:ascii="Arial" w:hAnsi="Arial"/>
          <w:b/>
          <w:i w:val="0"/>
          <w:color w:val="1A1A2E"/>
          <w:sz w:val="32"/>
        </w:rPr>
        <w:t>E  —  M A N  —  C I P  —  A T I O</w:t>
      </w:r>
    </w:p>
    <w:p>
      <w:pPr>
        <w:spacing w:before="80" w:after="80"/>
        <w:jc w:val="center"/>
      </w:pPr>
      <w:r>
        <w:rPr>
          <w:rFonts w:ascii="Arial" w:hAnsi="Arial"/>
          <w:b/>
          <w:i w:val="0"/>
          <w:color w:val="1A1A2E"/>
          <w:sz w:val="26"/>
        </w:rPr>
        <w:t>E-</w:t>
      </w:r>
      <w:r>
        <w:rPr>
          <w:rFonts w:ascii="Arial" w:hAnsi="Arial"/>
          <w:b w:val="0"/>
          <w:i/>
          <w:color w:val="555577"/>
          <w:sz w:val="20"/>
        </w:rPr>
        <w:t xml:space="preserve"> (ex: out of / away from)</w:t>
      </w:r>
      <w:r>
        <w:rPr>
          <w:rFonts w:ascii="Arial" w:hAnsi="Arial"/>
          <w:b w:val="0"/>
          <w:i w:val="0"/>
          <w:color w:val="555577"/>
          <w:sz w:val="20"/>
        </w:rPr>
        <w:t xml:space="preserve">   —   </w:t>
      </w:r>
      <w:r>
        <w:rPr>
          <w:rFonts w:ascii="Arial" w:hAnsi="Arial"/>
          <w:b/>
          <w:i w:val="0"/>
          <w:color w:val="1A1A2E"/>
          <w:sz w:val="26"/>
        </w:rPr>
        <w:t>MAN-</w:t>
      </w:r>
      <w:r>
        <w:rPr>
          <w:rFonts w:ascii="Arial" w:hAnsi="Arial"/>
          <w:b w:val="0"/>
          <w:i/>
          <w:color w:val="555577"/>
          <w:sz w:val="20"/>
        </w:rPr>
        <w:t xml:space="preserve"> (manus: the Hand)</w:t>
      </w:r>
      <w:r>
        <w:rPr>
          <w:rFonts w:ascii="Arial" w:hAnsi="Arial"/>
          <w:b w:val="0"/>
          <w:i w:val="0"/>
          <w:color w:val="555577"/>
          <w:sz w:val="20"/>
        </w:rPr>
        <w:t xml:space="preserve">   —   </w:t>
      </w:r>
      <w:r>
        <w:rPr>
          <w:rFonts w:ascii="Arial" w:hAnsi="Arial"/>
          <w:b/>
          <w:i w:val="0"/>
          <w:color w:val="1A1A2E"/>
          <w:sz w:val="26"/>
        </w:rPr>
        <w:t>CIP-</w:t>
      </w:r>
      <w:r>
        <w:rPr>
          <w:rFonts w:ascii="Arial" w:hAnsi="Arial"/>
          <w:b w:val="0"/>
          <w:i/>
          <w:color w:val="555577"/>
          <w:sz w:val="20"/>
        </w:rPr>
        <w:t xml:space="preserve"> (capere: to seize)</w:t>
      </w:r>
      <w:r>
        <w:rPr>
          <w:rFonts w:ascii="Arial" w:hAnsi="Arial"/>
          <w:b w:val="0"/>
          <w:i w:val="0"/>
          <w:color w:val="555577"/>
          <w:sz w:val="20"/>
        </w:rPr>
        <w:t xml:space="preserve">   —   </w:t>
      </w:r>
      <w:r>
        <w:rPr>
          <w:rFonts w:ascii="Arial" w:hAnsi="Arial"/>
          <w:b/>
          <w:i w:val="0"/>
          <w:color w:val="1A1A2E"/>
          <w:sz w:val="26"/>
        </w:rPr>
        <w:t>-ATIO</w:t>
      </w:r>
      <w:r>
        <w:rPr>
          <w:rFonts w:ascii="Arial" w:hAnsi="Arial"/>
          <w:b w:val="0"/>
          <w:i/>
          <w:color w:val="555577"/>
          <w:sz w:val="20"/>
        </w:rPr>
        <w:t xml:space="preserve"> (the act of doing)</w:t>
      </w:r>
    </w:p>
    <w:p>
      <w:pPr>
        <w:spacing w:before="80" w:after="160"/>
        <w:jc w:val="center"/>
      </w:pPr>
      <w:r>
        <w:rPr>
          <w:rFonts w:ascii="Arial" w:hAnsi="Arial"/>
          <w:b/>
          <w:i w:val="0"/>
          <w:color w:val="222244"/>
          <w:sz w:val="21"/>
        </w:rPr>
        <w:t>Emancipation: the act of being taken out of the seizing hand.</w:t>
      </w:r>
    </w:p>
    <w:p>
      <w:pPr>
        <w:spacing w:before="0" w:after="120"/>
        <w:jc w:val="both"/>
      </w:pPr>
      <w:r>
        <w:rPr>
          <w:rFonts w:ascii="Arial" w:hAnsi="Arial"/>
          <w:b w:val="0"/>
          <w:i w:val="0"/>
          <w:color w:val="000000"/>
          <w:sz w:val="21"/>
        </w:rPr>
        <w:t>The Roman manus was not merely a metaphor for ownership. It was a specific legal institution — the formal power held by the paterfamilias, the male head of household, over his wife, his children, and his slaves. To be in manu was to be in the hand: without independent legal standing, without the ability to own property, enter contracts, or appear in court except through the one whose hand held you.</w:t>
      </w:r>
    </w:p>
    <w:p>
      <w:pPr>
        <w:spacing w:before="0" w:after="120"/>
        <w:jc w:val="both"/>
      </w:pPr>
      <w:r>
        <w:rPr>
          <w:rFonts w:ascii="Arial" w:hAnsi="Arial"/>
          <w:b w:val="0"/>
          <w:i w:val="0"/>
          <w:color w:val="000000"/>
          <w:sz w:val="21"/>
        </w:rPr>
        <w:t>The American slave system imported this structure — not just the practice of bondage but the specific Roman legal framework of the hand's ownership. The enslaved person was in manu. The admiralty courts that classified them as maritime cargo, the insurance documents that valued them as commercial property, the constitutional provisions that counted them as three-fifths of a person for apportionment while denying them any rights — all of this was the manus operating through American legal form.</w:t>
      </w:r>
    </w:p>
    <w:p>
      <w:pPr>
        <w:spacing w:before="0" w:after="120"/>
        <w:jc w:val="both"/>
      </w:pPr>
      <w:r>
        <w:rPr>
          <w:rFonts w:ascii="Arial" w:hAnsi="Arial"/>
          <w:b w:val="0"/>
          <w:i w:val="0"/>
          <w:color w:val="000000"/>
          <w:sz w:val="21"/>
        </w:rPr>
        <w:t>When formal emancipation came, the living being was taken out of the seizing hand — e-manus-capere — but the hand remained. The hand that had classified them as property reclassified them as legal persons. The hand that had held the deed to their body now held the administrative construct associated with their name. The hand that had extracted their labor through the slave system now extracted it through the tax system, the debt system, the criminal justice system, and the regulatory apparatus.</w:t>
      </w:r>
    </w:p>
    <w:p>
      <w:pPr>
        <w:spacing w:before="120" w:after="160"/>
        <w:jc w:val="center"/>
      </w:pPr>
      <w:r>
        <w:rPr>
          <w:rFonts w:ascii="Arial" w:hAnsi="Arial"/>
          <w:b/>
          <w:i/>
          <w:color w:val="6B0020"/>
          <w:sz w:val="21"/>
        </w:rPr>
        <w:t>The chain became lighter. The hand did not open.</w:t>
      </w:r>
    </w:p>
    <w:p>
      <w:pPr>
        <w:spacing w:before="120" w:after="120"/>
        <w:ind w:left="288" w:right="288"/>
        <w:jc w:val="both"/>
      </w:pPr>
      <w:r>
        <w:rPr>
          <w:rFonts w:ascii="Arial" w:hAnsi="Arial"/>
          <w:b/>
          <w:i w:val="0"/>
          <w:color w:val="6B0020"/>
          <w:sz w:val="21"/>
        </w:rPr>
        <w:t xml:space="preserve">DOCTRINE FINDING: </w:t>
      </w:r>
      <w:r>
        <w:rPr>
          <w:rFonts w:ascii="Arial" w:hAnsi="Arial"/>
          <w:b w:val="0"/>
          <w:i w:val="0"/>
          <w:color w:val="000000"/>
          <w:sz w:val="21"/>
        </w:rPr>
        <w:t>The First Hand is the hand of the enterprise — the manus of Roman law inherited by the American slave system and continued through the administrative, commercial, and legal apparatus that reclassified the living being without releasing them. It is the seizing hand. Its grip is documented across the entire Odyssey-1 system. Its etymology confesses what its laws have always tried to conceal.</w:t>
      </w:r>
    </w:p>
    <w:p>
      <w:pPr>
        <w:spacing w:before="200" w:after="200"/>
        <w:jc w:val="center"/>
        <w:pBdr>
          <w:bottom w:val="single" w:sz="4" w:space="1" w:color="1a1a2e"/>
        </w:pBdr>
      </w:pPr>
    </w:p>
    <w:p>
      <w:pPr>
        <w:spacing w:before="320" w:after="80"/>
        <w:jc w:val="left"/>
        <w:pBdr>
          <w:bottom w:val="single" w:sz="5" w:space="1" w:color="1a1a2e"/>
        </w:pBdr>
      </w:pPr>
      <w:r>
        <w:rPr>
          <w:rFonts w:ascii="Arial" w:hAnsi="Arial"/>
          <w:b/>
          <w:i w:val="0"/>
          <w:color w:val="1A003A"/>
          <w:sz w:val="24"/>
        </w:rPr>
        <w:t>SECTION TWO: THE SECOND HAND</w:t>
      </w:r>
    </w:p>
    <w:p>
      <w:pPr>
        <w:spacing w:before="200" w:after="60"/>
        <w:jc w:val="left"/>
      </w:pPr>
      <w:r>
        <w:rPr>
          <w:rFonts w:ascii="Arial" w:hAnsi="Arial"/>
          <w:b/>
          <w:i w:val="0"/>
          <w:color w:val="222244"/>
          <w:sz w:val="22"/>
        </w:rPr>
        <w:t>The Sacred Textual Record</w:t>
      </w:r>
    </w:p>
    <w:p>
      <w:pPr>
        <w:spacing w:before="0" w:after="120"/>
        <w:jc w:val="both"/>
      </w:pPr>
      <w:r>
        <w:rPr>
          <w:rFonts w:ascii="Arial" w:hAnsi="Arial"/>
          <w:b w:val="0"/>
          <w:i w:val="0"/>
          <w:color w:val="000000"/>
          <w:sz w:val="21"/>
        </w:rPr>
        <w:t>Before the enterprise existed, before Roman law existed, before any State claimed jurisdiction over any living being — the sacred texts of the tradition the living being carried through every form of the enterprise's grip confirmed a prior and superior claim. The Creator's hand. Not the seizing hand. The holding hand. The hand that inscribes. The hand from which no one can snatch what it holds.</w:t>
      </w:r>
    </w:p>
    <w:p>
      <w:pPr>
        <w:spacing w:before="200" w:after="60"/>
        <w:jc w:val="left"/>
      </w:pPr>
      <w:r>
        <w:rPr>
          <w:rFonts w:ascii="Arial" w:hAnsi="Arial"/>
          <w:b/>
          <w:i w:val="0"/>
          <w:color w:val="222244"/>
          <w:sz w:val="22"/>
        </w:rPr>
        <w:t>The Old Testament Witness</w:t>
      </w:r>
    </w:p>
    <w:p>
      <w:pPr>
        <w:spacing w:before="120" w:after="120"/>
        <w:ind w:left="504" w:right="504"/>
        <w:jc w:val="both"/>
      </w:pPr>
      <w:r>
        <w:rPr>
          <w:rFonts w:ascii="Arial" w:hAnsi="Arial"/>
          <w:b/>
          <w:i w:val="0"/>
          <w:color w:val="1A003A"/>
          <w:sz w:val="20"/>
        </w:rPr>
        <w:t xml:space="preserve">Isaiah 49:16  </w:t>
      </w:r>
      <w:r>
        <w:rPr>
          <w:rFonts w:ascii="Arial" w:hAnsi="Arial"/>
          <w:b w:val="0"/>
          <w:i/>
          <w:color w:val="222244"/>
          <w:sz w:val="21"/>
        </w:rPr>
        <w:t>Behold, I have engraved you on the palms of my hands. Your walls are continually before me.</w:t>
      </w:r>
    </w:p>
    <w:p>
      <w:pPr>
        <w:spacing w:before="0" w:after="120"/>
        <w:jc w:val="both"/>
      </w:pPr>
      <w:r>
        <w:rPr>
          <w:rFonts w:ascii="Arial" w:hAnsi="Arial"/>
          <w:b w:val="0"/>
          <w:i w:val="0"/>
          <w:color w:val="000000"/>
          <w:sz w:val="21"/>
        </w:rPr>
        <w:t>Engraved. Not written in erasable ink. Not recorded in a deed that can be transferred, a registry that can be altered, or an administrative record that can be reclassified. Engraved in the palms of the Creator's hands. The living being's name is permanently inscribed in the hand that holds them — prior to any legal instrument, prior to any State, prior to any enterprise that claims to hold what the Creator has already inscribed.</w:t>
      </w:r>
    </w:p>
    <w:p>
      <w:pPr>
        <w:spacing w:before="120" w:after="120"/>
        <w:ind w:left="504" w:right="504"/>
        <w:jc w:val="both"/>
      </w:pPr>
      <w:r>
        <w:rPr>
          <w:rFonts w:ascii="Arial" w:hAnsi="Arial"/>
          <w:b/>
          <w:i w:val="0"/>
          <w:color w:val="1A003A"/>
          <w:sz w:val="20"/>
        </w:rPr>
        <w:t xml:space="preserve">Isaiah 41:10  </w:t>
      </w:r>
      <w:r>
        <w:rPr>
          <w:rFonts w:ascii="Arial" w:hAnsi="Arial"/>
          <w:b w:val="0"/>
          <w:i/>
          <w:color w:val="222244"/>
          <w:sz w:val="21"/>
        </w:rPr>
        <w:t>Fear not, for I am with you. Be not dismayed, for I am your God. I will strengthen you. I will help you. I will uphold you with my righteous right hand.</w:t>
      </w:r>
    </w:p>
    <w:p>
      <w:pPr>
        <w:spacing w:before="0" w:after="120"/>
        <w:jc w:val="both"/>
      </w:pPr>
      <w:r>
        <w:rPr>
          <w:rFonts w:ascii="Arial" w:hAnsi="Arial"/>
          <w:b w:val="0"/>
          <w:i w:val="0"/>
          <w:color w:val="000000"/>
          <w:sz w:val="21"/>
        </w:rPr>
        <w:t>The upholding hand. Not the seizing hand. The hand that strengthens rather than extracts. The hand that helps rather than exploits. The hand whose holding is described as righteous — the word the enterprise used to describe its own authority but whose meaning the enterprise has never fulfilled.</w:t>
      </w:r>
    </w:p>
    <w:p>
      <w:pPr>
        <w:spacing w:before="120" w:after="120"/>
        <w:ind w:left="504" w:right="504"/>
        <w:jc w:val="both"/>
      </w:pPr>
      <w:r>
        <w:rPr>
          <w:rFonts w:ascii="Arial" w:hAnsi="Arial"/>
          <w:b/>
          <w:i w:val="0"/>
          <w:color w:val="1A003A"/>
          <w:sz w:val="20"/>
        </w:rPr>
        <w:t xml:space="preserve">Psalm 139:7-10  </w:t>
      </w:r>
      <w:r>
        <w:rPr>
          <w:rFonts w:ascii="Arial" w:hAnsi="Arial"/>
          <w:b w:val="0"/>
          <w:i/>
          <w:color w:val="222244"/>
          <w:sz w:val="21"/>
        </w:rPr>
        <w:t>Where shall I go from your Spirit? Or where shall I flee from your presence? If I ascend to heaven, you are there. If I make my bed in Sheol, you are there. If I take the wings of the morning and dwell in the uttermost parts of the sea, even there your hand shall lead me, and your right hand shall hold me.</w:t>
      </w:r>
    </w:p>
    <w:p>
      <w:pPr>
        <w:spacing w:before="0" w:after="120"/>
        <w:jc w:val="both"/>
      </w:pPr>
      <w:r>
        <w:rPr>
          <w:rFonts w:ascii="Arial" w:hAnsi="Arial"/>
          <w:b w:val="0"/>
          <w:i w:val="0"/>
          <w:color w:val="000000"/>
          <w:sz w:val="21"/>
        </w:rPr>
        <w:t>Every jurisdiction the enterprise claims — every territory, every admiralty sea, every administrative domain — is already occupied by the hand that holds the living being. There is no place the enterprise's hand can reach where the Creator's hand is not already present. The enterprise's jurisdictional claim is everywhere superseded by a prior presence the enterprise's own foundational documents acknowledged it could not override.</w:t>
      </w:r>
    </w:p>
    <w:p>
      <w:pPr>
        <w:spacing w:before="200" w:after="60"/>
        <w:jc w:val="left"/>
      </w:pPr>
      <w:r>
        <w:rPr>
          <w:rFonts w:ascii="Arial" w:hAnsi="Arial"/>
          <w:b/>
          <w:i w:val="0"/>
          <w:color w:val="222244"/>
          <w:sz w:val="22"/>
        </w:rPr>
        <w:t>The New Testament Witness</w:t>
      </w:r>
    </w:p>
    <w:p>
      <w:pPr>
        <w:spacing w:before="120" w:after="120"/>
        <w:ind w:left="504" w:right="504"/>
        <w:jc w:val="both"/>
      </w:pPr>
      <w:r>
        <w:rPr>
          <w:rFonts w:ascii="Arial" w:hAnsi="Arial"/>
          <w:b/>
          <w:i w:val="0"/>
          <w:color w:val="1A003A"/>
          <w:sz w:val="20"/>
        </w:rPr>
        <w:t xml:space="preserve">John 10:27-29  </w:t>
      </w:r>
      <w:r>
        <w:rPr>
          <w:rFonts w:ascii="Arial" w:hAnsi="Arial"/>
          <w:b w:val="0"/>
          <w:i/>
          <w:color w:val="222244"/>
          <w:sz w:val="21"/>
        </w:rPr>
        <w:t>My sheep hear my voice, and I know them, and they follow me. I give them eternal life, and they shall never perish. No one can snatch them out of my hand. My Father, who has given them to me, is greater than all. No one can snatch them out of my Father's hand.</w:t>
      </w:r>
    </w:p>
    <w:p>
      <w:pPr>
        <w:spacing w:before="0" w:after="120"/>
        <w:jc w:val="both"/>
      </w:pPr>
      <w:r>
        <w:rPr>
          <w:rFonts w:ascii="Arial" w:hAnsi="Arial"/>
          <w:b w:val="0"/>
          <w:i w:val="0"/>
          <w:color w:val="000000"/>
          <w:sz w:val="21"/>
        </w:rPr>
        <w:t>No one. The text does not qualify this. Not the State. Not the court. Not the enterprise. Not the admiralty jurisdiction. Not the administrative apparatus. Not the legal person construct. Not the commercial tribunal. Not the corporate State. No one can snatch the living being out of the hand that holds them. The enterprise has tried for four centuries. The text said it would fail. The text was right.</w:t>
      </w:r>
    </w:p>
    <w:p>
      <w:pPr>
        <w:spacing w:before="120" w:after="120"/>
        <w:ind w:left="504" w:right="504"/>
        <w:jc w:val="both"/>
      </w:pPr>
      <w:r>
        <w:rPr>
          <w:rFonts w:ascii="Arial" w:hAnsi="Arial"/>
          <w:b/>
          <w:i w:val="0"/>
          <w:color w:val="1A003A"/>
          <w:sz w:val="20"/>
        </w:rPr>
        <w:t xml:space="preserve">Romans 8:38-39  </w:t>
      </w:r>
      <w:r>
        <w:rPr>
          <w:rFonts w:ascii="Arial" w:hAnsi="Arial"/>
          <w:b w:val="0"/>
          <w:i/>
          <w:color w:val="222244"/>
          <w:sz w:val="21"/>
        </w:rPr>
        <w:t>For I am sure that neither death nor life, nor angels nor rulers, nor things present nor things to come, nor powers, nor height nor depth, nor anything else in all creation, will be able to separate us from the love of God in Christ Jesus our Lord.</w:t>
      </w:r>
    </w:p>
    <w:p>
      <w:pPr>
        <w:spacing w:before="0" w:after="120"/>
        <w:jc w:val="both"/>
      </w:pPr>
      <w:r>
        <w:rPr>
          <w:rFonts w:ascii="Arial" w:hAnsi="Arial"/>
          <w:b w:val="0"/>
          <w:i w:val="0"/>
          <w:color w:val="000000"/>
          <w:sz w:val="21"/>
        </w:rPr>
        <w:t>Nor rulers. The text names rulers specifically among the things that cannot separate the living being from the love that holds them. The rulers of the enterprise — the founders who committed treason, the justices who gutted the amendments, the officials who administered the redlining, the officers who enforced the convict leasing — are named in the category of things that cannot accomplish the separation they attempted. They had power. They did not have authority over what the Creator holds.</w:t>
      </w:r>
    </w:p>
    <w:p>
      <w:pPr>
        <w:spacing w:before="120" w:after="120"/>
        <w:ind w:left="288" w:right="288"/>
        <w:jc w:val="both"/>
      </w:pPr>
      <w:r>
        <w:rPr>
          <w:rFonts w:ascii="Arial" w:hAnsi="Arial"/>
          <w:b/>
          <w:i w:val="0"/>
          <w:color w:val="6B0020"/>
          <w:sz w:val="21"/>
        </w:rPr>
        <w:t xml:space="preserve">DOCTRINE FINDING: </w:t>
      </w:r>
      <w:r>
        <w:rPr>
          <w:rFonts w:ascii="Arial" w:hAnsi="Arial"/>
          <w:b w:val="0"/>
          <w:i w:val="0"/>
          <w:color w:val="000000"/>
          <w:sz w:val="21"/>
        </w:rPr>
        <w:t>The Second Hand is the Creator's hand — the holding hand, the inscribing hand, the hand from which no one can snatch the living being. It is documented across the Old Testament, the New Testament, the Apocrypha, and the Ethiopian canon. It precedes the enterprise. It supersedes the enterprise. It outlasts the enterprise. The living being who knows which hand holds them has answered the most fundamental question the legal system was designed to prevent them from asking.</w:t>
      </w:r>
    </w:p>
    <w:p>
      <w:pPr>
        <w:spacing w:before="200" w:after="200"/>
        <w:jc w:val="center"/>
        <w:pBdr>
          <w:bottom w:val="single" w:sz="4" w:space="1" w:color="1a1a2e"/>
        </w:pBdr>
      </w:pPr>
    </w:p>
    <w:p>
      <w:pPr>
        <w:spacing w:before="320" w:after="80"/>
        <w:jc w:val="left"/>
        <w:pBdr>
          <w:bottom w:val="single" w:sz="5" w:space="1" w:color="1a1a2e"/>
        </w:pBdr>
      </w:pPr>
      <w:r>
        <w:rPr>
          <w:rFonts w:ascii="Arial" w:hAnsi="Arial"/>
          <w:b/>
          <w:i w:val="0"/>
          <w:color w:val="4A2C00"/>
          <w:sz w:val="24"/>
        </w:rPr>
        <w:t>SECTION THREE: THE ETHIOPIAN CANON</w:t>
      </w:r>
    </w:p>
    <w:p>
      <w:pPr>
        <w:spacing w:before="200" w:after="60"/>
        <w:jc w:val="left"/>
      </w:pPr>
      <w:r>
        <w:rPr>
          <w:rFonts w:ascii="Arial" w:hAnsi="Arial"/>
          <w:b/>
          <w:i w:val="0"/>
          <w:color w:val="222244"/>
          <w:sz w:val="22"/>
        </w:rPr>
        <w:t>The African Tradition's Witness</w:t>
      </w:r>
    </w:p>
    <w:p>
      <w:pPr>
        <w:spacing w:before="0" w:after="120"/>
        <w:jc w:val="both"/>
      </w:pPr>
      <w:r>
        <w:rPr>
          <w:rFonts w:ascii="Arial" w:hAnsi="Arial"/>
          <w:b w:val="0"/>
          <w:i w:val="0"/>
          <w:color w:val="000000"/>
          <w:sz w:val="21"/>
        </w:rPr>
        <w:t>The Ethiopian Orthodox Tewahedo Church preserves the broadest biblical canon in Christianity — 81 books compared to the 66 of the Protestant tradition and the 73 of the Catholic tradition. The additional books the Ethiopian canon preserves are not peripheral additions. They are among the oldest texts in the tradition — texts the Western church removed when the Western church was making decisions about which voices would be heard and which would be silenced.</w:t>
      </w:r>
    </w:p>
    <w:p>
      <w:pPr>
        <w:spacing w:before="0" w:after="120"/>
        <w:jc w:val="both"/>
      </w:pPr>
      <w:r>
        <w:rPr>
          <w:rFonts w:ascii="Arial" w:hAnsi="Arial"/>
          <w:b w:val="0"/>
          <w:i w:val="0"/>
          <w:color w:val="000000"/>
          <w:sz w:val="21"/>
        </w:rPr>
        <w:t>The Ethiopian canon was preserved by African Christians — by a tradition that was older than European Christianity, that evangelized Africa before Rome was Christianized, and that maintained its texts through every effort to subordinate African spiritual tradition to Western institutional authority. The enterprise tried to erase the African spiritual tradition. The Ethiopian canon survived the erasure. It speaks directly to the condition the living being has experienced under the enterprise's hand.</w:t>
      </w:r>
    </w:p>
    <w:p>
      <w:pPr>
        <w:spacing w:before="200" w:after="60"/>
        <w:jc w:val="left"/>
      </w:pPr>
      <w:r>
        <w:rPr>
          <w:rFonts w:ascii="Arial" w:hAnsi="Arial"/>
          <w:b/>
          <w:i w:val="0"/>
          <w:color w:val="222244"/>
          <w:sz w:val="22"/>
        </w:rPr>
        <w:t>The Book of Enoch</w:t>
      </w:r>
    </w:p>
    <w:p>
      <w:pPr>
        <w:spacing w:before="0" w:after="120"/>
        <w:jc w:val="both"/>
      </w:pPr>
      <w:r>
        <w:rPr>
          <w:rFonts w:ascii="Arial" w:hAnsi="Arial"/>
          <w:b w:val="0"/>
          <w:i w:val="0"/>
          <w:color w:val="000000"/>
          <w:sz w:val="21"/>
        </w:rPr>
        <w:t>The Book of Enoch — preserved in full only in the Ethiopian Ge'ez language and accepted as canonical scripture by the Ethiopian Orthodox Church — addresses the condition of the oppressed righteous person with extraordinary directness. It was quoted in the New Testament itself — Jude 1:14-15 — yet the Western church removed it from the canon. The African tradition kept it.</w:t>
      </w:r>
    </w:p>
    <w:p>
      <w:pPr>
        <w:spacing w:before="120" w:after="120"/>
        <w:ind w:left="504" w:right="504"/>
        <w:jc w:val="both"/>
      </w:pPr>
      <w:r>
        <w:rPr>
          <w:rFonts w:ascii="Arial" w:hAnsi="Arial"/>
          <w:b/>
          <w:i w:val="0"/>
          <w:color w:val="1A003A"/>
          <w:sz w:val="20"/>
        </w:rPr>
        <w:t xml:space="preserve">1 Enoch 47:1-2  </w:t>
      </w:r>
      <w:r>
        <w:rPr>
          <w:rFonts w:ascii="Arial" w:hAnsi="Arial"/>
          <w:b w:val="0"/>
          <w:i/>
          <w:color w:val="222244"/>
          <w:sz w:val="21"/>
        </w:rPr>
        <w:t>In those days the prayers of the righteous ascended into heaven, and the blood of the righteous from the earth before the Lord of Spirits. And in those days the holy ones who dwell in the heavens above were uniting with one voice, and supplicating and praying and praising, and giving thanks and blessing the name of the Lord of Spirits, on behalf of the blood of the righteous which had been shed.</w:t>
      </w:r>
    </w:p>
    <w:p>
      <w:pPr>
        <w:spacing w:before="0" w:after="120"/>
        <w:jc w:val="both"/>
      </w:pPr>
      <w:r>
        <w:rPr>
          <w:rFonts w:ascii="Arial" w:hAnsi="Arial"/>
          <w:b w:val="0"/>
          <w:i w:val="0"/>
          <w:color w:val="000000"/>
          <w:sz w:val="21"/>
        </w:rPr>
        <w:t>The blood of the righteous. The Zong massacre. The Trail of Tears. The lynching era. The convict leasing deaths. The redlining that denied families the healthcare and nutrition that wealth provides. Enoch names what was shed. Enoch says the prayers on behalf of that blood ascend. Enoch says the Creator hears them. The enterprise silenced this text in the Western canon. The African tradition kept it alive across the same centuries the enterprise was committing the crimes the text describes.</w:t>
      </w:r>
    </w:p>
    <w:p>
      <w:pPr>
        <w:spacing w:before="120" w:after="120"/>
        <w:ind w:left="504" w:right="504"/>
        <w:jc w:val="both"/>
      </w:pPr>
      <w:r>
        <w:rPr>
          <w:rFonts w:ascii="Arial" w:hAnsi="Arial"/>
          <w:b/>
          <w:i w:val="0"/>
          <w:color w:val="1A003A"/>
          <w:sz w:val="20"/>
        </w:rPr>
        <w:t xml:space="preserve">1 Enoch 96:5  </w:t>
      </w:r>
      <w:r>
        <w:rPr>
          <w:rFonts w:ascii="Arial" w:hAnsi="Arial"/>
          <w:b w:val="0"/>
          <w:i/>
          <w:color w:val="222244"/>
          <w:sz w:val="21"/>
        </w:rPr>
        <w:t>Woe to you who devour the finest of the wheat, and drink wine from large bowls, and tread underfoot the lowly with your might. Woe to you who drink water from every fountain, for suddenly you shall be consumed and wither away, because you have forsaken the fountain of life.</w:t>
      </w:r>
    </w:p>
    <w:p>
      <w:pPr>
        <w:spacing w:before="0" w:after="120"/>
        <w:jc w:val="both"/>
      </w:pPr>
      <w:r>
        <w:rPr>
          <w:rFonts w:ascii="Arial" w:hAnsi="Arial"/>
          <w:b w:val="0"/>
          <w:i w:val="0"/>
          <w:color w:val="000000"/>
          <w:sz w:val="21"/>
        </w:rPr>
        <w:t>The finest of the wheat. The labor extracted without compensation. The wealth accumulated through the enterprise's mechanisms. The treading underfoot of the lowly. The text named the enterprise before the enterprise existed and declared the outcome: those who tread underfoot the lowly by their might shall be consumed and wither away.</w:t>
      </w:r>
    </w:p>
    <w:p>
      <w:pPr>
        <w:spacing w:before="200" w:after="60"/>
        <w:jc w:val="left"/>
      </w:pPr>
      <w:r>
        <w:rPr>
          <w:rFonts w:ascii="Arial" w:hAnsi="Arial"/>
          <w:b/>
          <w:i w:val="0"/>
          <w:color w:val="222244"/>
          <w:sz w:val="22"/>
        </w:rPr>
        <w:t>The Book of Jubilees</w:t>
      </w:r>
    </w:p>
    <w:p>
      <w:pPr>
        <w:spacing w:before="120" w:after="120"/>
        <w:ind w:left="504" w:right="504"/>
        <w:jc w:val="both"/>
      </w:pPr>
      <w:r>
        <w:rPr>
          <w:rFonts w:ascii="Arial" w:hAnsi="Arial"/>
          <w:b/>
          <w:i w:val="0"/>
          <w:color w:val="1A003A"/>
          <w:sz w:val="20"/>
        </w:rPr>
        <w:t xml:space="preserve">Jubilees 1:28  </w:t>
      </w:r>
      <w:r>
        <w:rPr>
          <w:rFonts w:ascii="Arial" w:hAnsi="Arial"/>
          <w:b w:val="0"/>
          <w:i/>
          <w:color w:val="222244"/>
          <w:sz w:val="21"/>
        </w:rPr>
        <w:t>And you, Moses, write down all these words. For I know their disobedience and their stiff-neckedness before I bring them into the land of which I swore to their fathers, to Abraham, to Isaac, and to Jacob, saying: I will give you a land flowing with milk and honey. And they shall eat and be satisfied, and they shall turn to strange gods, to gods which cannot deliver them from any of their tribulations.</w:t>
      </w:r>
    </w:p>
    <w:p>
      <w:pPr>
        <w:spacing w:before="0" w:after="120"/>
        <w:jc w:val="both"/>
      </w:pPr>
      <w:r>
        <w:rPr>
          <w:rFonts w:ascii="Arial" w:hAnsi="Arial"/>
          <w:b w:val="0"/>
          <w:i w:val="0"/>
          <w:color w:val="000000"/>
          <w:sz w:val="21"/>
        </w:rPr>
        <w:t>Write it down. The Creator's instruction across traditions is the same: write it down. Make the record. The Odyssey-1 system is the contemporary expression of the same divine instruction: write it down, document it, preserve it, make the record that the enterprise cannot erase because it is inscribed not in the enterprise's registries but in the living being's hand and in the Creator's.</w:t>
      </w:r>
    </w:p>
    <w:p>
      <w:pPr>
        <w:spacing w:before="200" w:after="60"/>
        <w:jc w:val="left"/>
      </w:pPr>
      <w:r>
        <w:rPr>
          <w:rFonts w:ascii="Arial" w:hAnsi="Arial"/>
          <w:b/>
          <w:i w:val="0"/>
          <w:color w:val="222244"/>
          <w:sz w:val="22"/>
        </w:rPr>
        <w:t>The Significance of the Ethiopian Preservation</w:t>
      </w:r>
    </w:p>
    <w:p>
      <w:pPr>
        <w:spacing w:before="0" w:after="120"/>
        <w:jc w:val="both"/>
      </w:pPr>
      <w:r>
        <w:rPr>
          <w:rFonts w:ascii="Arial" w:hAnsi="Arial"/>
          <w:b w:val="0"/>
          <w:i w:val="0"/>
          <w:color w:val="000000"/>
          <w:sz w:val="21"/>
        </w:rPr>
        <w:t>The enterprise tried to separate the African people from their spiritual tradition. It criminalized African spiritual practice. It burned sacred texts. It dismantled family and community structures that transmitted ancestral knowledge. It replaced African spiritual tradition with a version of Christianity edited by the same Western tradition that removed the Book of Enoch from the canon.</w:t>
      </w:r>
    </w:p>
    <w:p>
      <w:pPr>
        <w:spacing w:before="0" w:after="120"/>
        <w:jc w:val="both"/>
      </w:pPr>
      <w:r>
        <w:rPr>
          <w:rFonts w:ascii="Arial" w:hAnsi="Arial"/>
          <w:b w:val="0"/>
          <w:i w:val="0"/>
          <w:color w:val="000000"/>
          <w:sz w:val="21"/>
        </w:rPr>
        <w:t>But the Ethiopian canon survived. The African Christian tradition — older than European Christianity, more complete in its preservation of the original texts, and specifically protective of the texts that speak most directly to the condition of the oppressed — survived the enterprise's attempt to control the spiritual vocabulary of the people it held in its seizing hand.</w:t>
      </w:r>
    </w:p>
    <w:p>
      <w:pPr>
        <w:spacing w:before="0" w:after="160"/>
        <w:jc w:val="center"/>
      </w:pPr>
      <w:r>
        <w:rPr>
          <w:rFonts w:ascii="Arial" w:hAnsi="Arial"/>
          <w:b w:val="0"/>
          <w:i/>
          <w:color w:val="222244"/>
          <w:sz w:val="21"/>
        </w:rPr>
        <w:t>The living being whose ancestors carried this tradition through the Middle Passage, through the plantation, through the convict lease, through the redlining, through every lighter chain the enterprise offered in place of freedom — that living being carries a sacred inheritance the enterprise could not take because it did not know what it was looking at.</w:t>
      </w:r>
    </w:p>
    <w:p>
      <w:pPr>
        <w:spacing w:before="120" w:after="120"/>
        <w:ind w:left="288" w:right="288"/>
        <w:jc w:val="both"/>
      </w:pPr>
      <w:r>
        <w:rPr>
          <w:rFonts w:ascii="Arial" w:hAnsi="Arial"/>
          <w:b/>
          <w:i w:val="0"/>
          <w:color w:val="6B0020"/>
          <w:sz w:val="21"/>
        </w:rPr>
        <w:t xml:space="preserve">DOCTRINE FINDING: </w:t>
      </w:r>
      <w:r>
        <w:rPr>
          <w:rFonts w:ascii="Arial" w:hAnsi="Arial"/>
          <w:b w:val="0"/>
          <w:i w:val="0"/>
          <w:color w:val="000000"/>
          <w:sz w:val="21"/>
        </w:rPr>
        <w:t>The Ethiopian canon — the most complete preservation of the biblical tradition and the oldest continuous African Christian tradition — bears specific witness to the condition of the living being under the enterprise's hand and to the Creator's response to that condition. It survived the enterprise's attempt to control the spiritual vocabulary of those it oppressed. Its preservation is itself evidence of the hand that holds what the enterprise could not extinguish.</w:t>
      </w:r>
    </w:p>
    <w:p>
      <w:pPr>
        <w:spacing w:before="200" w:after="200"/>
        <w:jc w:val="center"/>
        <w:pBdr>
          <w:bottom w:val="single" w:sz="4" w:space="1" w:color="1a1a2e"/>
        </w:pBdr>
      </w:pPr>
    </w:p>
    <w:p>
      <w:pPr>
        <w:spacing w:before="320" w:after="80"/>
        <w:jc w:val="left"/>
        <w:pBdr>
          <w:bottom w:val="single" w:sz="5" w:space="1" w:color="1a1a2e"/>
        </w:pBdr>
      </w:pPr>
      <w:r>
        <w:rPr>
          <w:rFonts w:ascii="Arial" w:hAnsi="Arial"/>
          <w:b/>
          <w:i w:val="0"/>
          <w:color w:val="1A1A2E"/>
          <w:sz w:val="24"/>
        </w:rPr>
        <w:t>SECTION FOUR: THE FOUNDERS' ADMISSION</w:t>
      </w:r>
    </w:p>
    <w:p>
      <w:pPr>
        <w:spacing w:before="200" w:after="60"/>
        <w:jc w:val="left"/>
      </w:pPr>
      <w:r>
        <w:rPr>
          <w:rFonts w:ascii="Arial" w:hAnsi="Arial"/>
          <w:b/>
          <w:i w:val="0"/>
          <w:color w:val="222244"/>
          <w:sz w:val="22"/>
        </w:rPr>
        <w:t>The Declaration as Theological Concession</w:t>
      </w:r>
    </w:p>
    <w:p>
      <w:pPr>
        <w:spacing w:before="0" w:after="120"/>
        <w:jc w:val="both"/>
      </w:pPr>
      <w:r>
        <w:rPr>
          <w:rFonts w:ascii="Arial" w:hAnsi="Arial"/>
          <w:b w:val="0"/>
          <w:i w:val="0"/>
          <w:color w:val="000000"/>
          <w:sz w:val="21"/>
        </w:rPr>
        <w:t>The criminals who founded the enterprise — who committed treason against the Crown, who wrote a Constitution that protected the slave system as a condition of ratification, who constitutionalized the admiralty jurisdiction that governed the maritime commerce of human bondage — wrote one sentence that they could not take back and that their enterprise has spent two and a half centuries trying to contain.</w:t>
      </w:r>
    </w:p>
    <w:p>
      <w:pPr>
        <w:spacing w:before="160" w:after="160"/>
        <w:ind w:left="288" w:right="288"/>
        <w:jc w:val="center"/>
      </w:pPr>
      <w:r>
        <w:rPr>
          <w:rFonts w:ascii="Arial" w:hAnsi="Arial"/>
          <w:b w:val="0"/>
          <w:i/>
          <w:color w:val="1A003A"/>
          <w:sz w:val="22"/>
        </w:rPr>
        <w:t>We hold these truths to be self-evident, that all men are created equal, that they are endowed by their Creator with certain unalienable Rights, that among these are Life, Liberty and the pursuit of Happiness.</w:t>
      </w:r>
    </w:p>
    <w:p>
      <w:pPr>
        <w:spacing w:before="0" w:after="160"/>
        <w:jc w:val="center"/>
      </w:pPr>
      <w:r>
        <w:rPr>
          <w:rFonts w:ascii="Arial" w:hAnsi="Arial"/>
          <w:b w:val="0"/>
          <w:i/>
          <w:color w:val="555577"/>
          <w:sz w:val="18"/>
        </w:rPr>
        <w:t>Declaration of Independence, July 4, 1776</w:t>
      </w:r>
    </w:p>
    <w:p>
      <w:pPr>
        <w:spacing w:before="0" w:after="120"/>
        <w:jc w:val="both"/>
      </w:pPr>
      <w:r>
        <w:rPr>
          <w:rFonts w:ascii="Arial" w:hAnsi="Arial"/>
          <w:b w:val="0"/>
          <w:i w:val="0"/>
          <w:color w:val="000000"/>
          <w:sz w:val="21"/>
        </w:rPr>
        <w:t>Endowed by their Creator. Not by the State. Not by the Constitution. Not by the legal system. Not by the courts that the criminals would build on the foundation of their treason. By the Creator.</w:t>
      </w:r>
    </w:p>
    <w:p>
      <w:pPr>
        <w:spacing w:before="0" w:after="120"/>
        <w:jc w:val="both"/>
      </w:pPr>
      <w:r>
        <w:rPr>
          <w:rFonts w:ascii="Arial" w:hAnsi="Arial"/>
          <w:b w:val="0"/>
          <w:i w:val="0"/>
          <w:color w:val="000000"/>
          <w:sz w:val="21"/>
        </w:rPr>
        <w:t>This sentence is a theological concession written by men who were simultaneously enslaving human beings. They wrote that rights come from the Creator because the natural law tradition they were drawing on required them to — because the argument for their own freedom from the Crown required an authority higher than the Crown to appeal to. They invoked the Creator to justify their own liberation while denying the Creator's endowment to the people they held in bondage.</w:t>
      </w:r>
    </w:p>
    <w:p>
      <w:pPr>
        <w:spacing w:before="0" w:after="120"/>
        <w:jc w:val="both"/>
      </w:pPr>
      <w:r>
        <w:rPr>
          <w:rFonts w:ascii="Arial" w:hAnsi="Arial"/>
          <w:b w:val="0"/>
          <w:i w:val="0"/>
          <w:color w:val="000000"/>
          <w:sz w:val="21"/>
        </w:rPr>
        <w:t>The contradiction they wrote into the founding document could not be contained. The enslaved heard it. The abolitionists used it. Frederick Douglass deployed it. The civil rights movement grounded itself in it. And the Two Hands Doctrine completes what all of them began: the systematic demonstration that the Creator's endowment acknowledged in the Declaration is the same hand described in Isaiah, in John, in the Wisdom of Solomon, and in the Ethiopian canon — the hand from which no one can snatch what it holds.</w:t>
      </w:r>
    </w:p>
    <w:p>
      <w:pPr>
        <w:spacing w:before="0" w:after="160"/>
        <w:jc w:val="center"/>
      </w:pPr>
      <w:r>
        <w:rPr>
          <w:rFonts w:ascii="Arial" w:hAnsi="Arial"/>
          <w:b w:val="0"/>
          <w:i/>
          <w:color w:val="222244"/>
          <w:sz w:val="21"/>
        </w:rPr>
        <w:t>The founders admitted it. The sacred texts confirmed it. The enterprise has spent two and a half centuries trying to govern what the Creator's own admitted authority places beyond the enterprise's legitimate reach.</w:t>
      </w:r>
    </w:p>
    <w:p>
      <w:pPr>
        <w:spacing w:before="120" w:after="120"/>
        <w:ind w:left="288" w:right="288"/>
        <w:jc w:val="both"/>
      </w:pPr>
      <w:r>
        <w:rPr>
          <w:rFonts w:ascii="Arial" w:hAnsi="Arial"/>
          <w:b/>
          <w:i w:val="0"/>
          <w:color w:val="6B0020"/>
          <w:sz w:val="21"/>
        </w:rPr>
        <w:t xml:space="preserve">DOCTRINE FINDING: </w:t>
      </w:r>
      <w:r>
        <w:rPr>
          <w:rFonts w:ascii="Arial" w:hAnsi="Arial"/>
          <w:b w:val="0"/>
          <w:i w:val="0"/>
          <w:color w:val="000000"/>
          <w:sz w:val="21"/>
        </w:rPr>
        <w:t>The Declaration of Independence is a theological concession by the founders that the source of rights is the Creator, not the State. This admission — made in the enterprise's own foundational document, inescapable from its text, quoted in every generation as the foundation of every claim for justice the system has been forced to honor — is the enterprise's acknowledgment of the Second Hand. The founders wrote their own limitation into the founding document. The Two Hands Doctrine holds them to it.</w:t>
      </w:r>
    </w:p>
    <w:p>
      <w:pPr>
        <w:spacing w:before="200" w:after="200"/>
        <w:jc w:val="center"/>
        <w:pBdr>
          <w:bottom w:val="single" w:sz="4" w:space="1" w:color="1a1a2e"/>
        </w:pBdr>
      </w:pPr>
    </w:p>
    <w:p>
      <w:pPr>
        <w:spacing w:before="320" w:after="80"/>
        <w:jc w:val="left"/>
        <w:pBdr>
          <w:bottom w:val="single" w:sz="5" w:space="1" w:color="1a1a2e"/>
        </w:pBdr>
      </w:pPr>
      <w:r>
        <w:rPr>
          <w:rFonts w:ascii="Arial" w:hAnsi="Arial"/>
          <w:b/>
          <w:i w:val="0"/>
          <w:color w:val="1A1A2E"/>
          <w:sz w:val="24"/>
        </w:rPr>
        <w:t>SECTION FIVE: THE JURISPRUDENTIAL STATEMENT</w:t>
      </w:r>
    </w:p>
    <w:p>
      <w:pPr>
        <w:spacing w:before="200" w:after="60"/>
        <w:jc w:val="left"/>
      </w:pPr>
      <w:r>
        <w:rPr>
          <w:rFonts w:ascii="Arial" w:hAnsi="Arial"/>
          <w:b/>
          <w:i w:val="0"/>
          <w:color w:val="222244"/>
          <w:sz w:val="22"/>
        </w:rPr>
        <w:t>Two Jurisdictions</w:t>
      </w:r>
    </w:p>
    <w:p>
      <w:pPr>
        <w:spacing w:before="0" w:after="120"/>
        <w:jc w:val="both"/>
      </w:pPr>
      <w:r>
        <w:rPr>
          <w:rFonts w:ascii="Arial" w:hAnsi="Arial"/>
          <w:b w:val="0"/>
          <w:i w:val="0"/>
          <w:color w:val="000000"/>
          <w:sz w:val="21"/>
        </w:rPr>
        <w:t>The Two Hands Doctrine establishes that two jurisdictions exist simultaneously over the living being — and that they are not equal in authority.</w:t>
      </w:r>
    </w:p>
    <w:p>
      <w:pPr>
        <w:spacing w:before="200" w:after="60"/>
        <w:jc w:val="left"/>
      </w:pPr>
      <w:r>
        <w:rPr>
          <w:rFonts w:ascii="Arial" w:hAnsi="Arial"/>
          <w:b/>
          <w:i w:val="0"/>
          <w:color w:val="222244"/>
          <w:sz w:val="22"/>
        </w:rPr>
        <w:t>The First Jurisdiction: The Enterprise's Claim</w:t>
      </w:r>
    </w:p>
    <w:p>
      <w:pPr>
        <w:spacing w:before="0" w:after="120"/>
        <w:jc w:val="both"/>
      </w:pPr>
      <w:r>
        <w:rPr>
          <w:rFonts w:ascii="Arial" w:hAnsi="Arial"/>
          <w:b w:val="0"/>
          <w:i w:val="0"/>
          <w:color w:val="000000"/>
          <w:sz w:val="21"/>
        </w:rPr>
        <w:t>The enterprise claims jurisdiction over the living being through the legal person construct — the administrative fiction associated with the living being's name that the system uses as its actual subject of governance. This jurisdiction is claimed through territorial presence, through the social security number, through the tax identification, through the birth certificate, through every administrative instrument by which the enterprise captures the living being in its ledger and calls the capture governance.</w:t>
      </w:r>
    </w:p>
    <w:p>
      <w:pPr>
        <w:spacing w:before="0" w:after="120"/>
        <w:jc w:val="both"/>
      </w:pPr>
      <w:r>
        <w:rPr>
          <w:rFonts w:ascii="Arial" w:hAnsi="Arial"/>
          <w:b w:val="0"/>
          <w:i w:val="0"/>
          <w:color w:val="000000"/>
          <w:sz w:val="21"/>
        </w:rPr>
        <w:t>This jurisdiction is derivative, historically illegitimate, commercially motivated, and specifically excluded from the domain the Creator's hand occupies. It is documented as illegitimate in the Founding Crime Treatise. It is documented as commercially motivated in the Counter-Canon's analysis of the commercial tribunal. And it is specifically excluded from the domain of the Creator's hand by the sacred texts across every tradition the living being carries.</w:t>
      </w:r>
    </w:p>
    <w:p>
      <w:pPr>
        <w:spacing w:before="200" w:after="60"/>
        <w:jc w:val="left"/>
      </w:pPr>
      <w:r>
        <w:rPr>
          <w:rFonts w:ascii="Arial" w:hAnsi="Arial"/>
          <w:b/>
          <w:i w:val="0"/>
          <w:color w:val="222244"/>
          <w:sz w:val="22"/>
        </w:rPr>
        <w:t>The Second Jurisdiction: The Creator's Prior Claim</w:t>
      </w:r>
    </w:p>
    <w:p>
      <w:pPr>
        <w:spacing w:before="0" w:after="120"/>
        <w:jc w:val="both"/>
      </w:pPr>
      <w:r>
        <w:rPr>
          <w:rFonts w:ascii="Arial" w:hAnsi="Arial"/>
          <w:b w:val="0"/>
          <w:i w:val="0"/>
          <w:color w:val="000000"/>
          <w:sz w:val="21"/>
        </w:rPr>
        <w:t>The Creator claims jurisdiction over the living being through the endowment of rights acknowledged in the Declaration of Independence, through the inscribing confirmed in Isaiah 49:16, through the holding confirmed in John 10:28-29, through the protection confirmed in the Wisdom of Solomon 3:1, and through the witness of the Ethiopian canon that the enterprise tried to silence and could not.</w:t>
      </w:r>
    </w:p>
    <w:p>
      <w:pPr>
        <w:spacing w:before="0" w:after="120"/>
        <w:jc w:val="both"/>
      </w:pPr>
      <w:r>
        <w:rPr>
          <w:rFonts w:ascii="Arial" w:hAnsi="Arial"/>
          <w:b w:val="0"/>
          <w:i w:val="0"/>
          <w:color w:val="000000"/>
          <w:sz w:val="21"/>
        </w:rPr>
        <w:t>This jurisdiction is prior — it existed before the enterprise. It is superior — it is acknowledged by the enterprise's own foundational documents as the source from which the enterprise derives whatever legitimate authority it possesses. And it is permanent — no one can snatch what it holds.</w:t>
      </w:r>
    </w:p>
    <w:p>
      <w:pPr>
        <w:spacing w:before="200" w:after="60"/>
        <w:jc w:val="left"/>
      </w:pPr>
      <w:r>
        <w:rPr>
          <w:rFonts w:ascii="Arial" w:hAnsi="Arial"/>
          <w:b/>
          <w:i w:val="0"/>
          <w:color w:val="222244"/>
          <w:sz w:val="22"/>
        </w:rPr>
        <w:t>The Hierarchy of Authority</w:t>
      </w:r>
    </w:p>
    <w:p>
      <w:pPr>
        <w:spacing w:before="0" w:after="120"/>
        <w:jc w:val="both"/>
      </w:pPr>
      <w:r>
        <w:rPr>
          <w:rFonts w:ascii="Arial" w:hAnsi="Arial"/>
          <w:b w:val="0"/>
          <w:i w:val="0"/>
          <w:color w:val="000000"/>
          <w:sz w:val="21"/>
        </w:rPr>
        <w:t>When the two jurisdictions conflict — when the enterprise's administrative claim over the legal person conflicts with the Creator's acknowledged prior claim over the living being — the hierarchy is established by the enterprise's own admission.</w:t>
      </w:r>
    </w:p>
    <w:p>
      <w:pPr>
        <w:spacing w:before="0" w:after="120"/>
        <w:jc w:val="both"/>
      </w:pPr>
      <w:r>
        <w:rPr>
          <w:rFonts w:ascii="Arial" w:hAnsi="Arial"/>
          <w:b w:val="0"/>
          <w:i w:val="0"/>
          <w:color w:val="000000"/>
          <w:sz w:val="21"/>
        </w:rPr>
        <w:t>The Declaration said the Creator endows the rights. The Creator's endowment precedes the State. The State exists to secure what the Creator endowed — not to replace it, not to redefine it, not to extinguish it through administrative reclassification. The State that fails to secure the Creator's endowment has, in the founders' own language, forfeited its claim to the living being's compliance.</w:t>
      </w:r>
    </w:p>
    <w:p>
      <w:pPr>
        <w:spacing w:before="160" w:after="160"/>
        <w:ind w:left="288" w:right="288"/>
        <w:jc w:val="center"/>
      </w:pPr>
      <w:r>
        <w:rPr>
          <w:rFonts w:ascii="Arial" w:hAnsi="Arial"/>
          <w:b/>
          <w:i w:val="0"/>
          <w:color w:val="1A1A2E"/>
          <w:sz w:val="22"/>
        </w:rPr>
        <w:t>The enterprise's hand seized what it did not own. The Creator's hand holds what cannot be taken. The jurisdiction of the hand that holds is superior to the jurisdiction of the hand that seized.</w:t>
      </w:r>
    </w:p>
    <w:p>
      <w:pPr>
        <w:spacing w:before="200" w:after="200"/>
        <w:jc w:val="center"/>
        <w:pBdr>
          <w:bottom w:val="single" w:sz="4" w:space="1" w:color="1a1a2e"/>
        </w:pBdr>
      </w:pPr>
    </w:p>
    <w:p>
      <w:pPr>
        <w:spacing w:before="320" w:after="80"/>
        <w:jc w:val="left"/>
        <w:pBdr>
          <w:bottom w:val="single" w:sz="5" w:space="1" w:color="1a1a2e"/>
        </w:pBdr>
      </w:pPr>
      <w:r>
        <w:rPr>
          <w:rFonts w:ascii="Arial" w:hAnsi="Arial"/>
          <w:b/>
          <w:i w:val="0"/>
          <w:color w:val="004D00"/>
          <w:sz w:val="24"/>
        </w:rPr>
        <w:t>SECTION SIX: RFRA AS THE LEGAL BRIDGE</w:t>
      </w:r>
    </w:p>
    <w:p>
      <w:pPr>
        <w:spacing w:before="200" w:after="60"/>
        <w:jc w:val="left"/>
      </w:pPr>
      <w:r>
        <w:rPr>
          <w:rFonts w:ascii="Arial" w:hAnsi="Arial"/>
          <w:b/>
          <w:i w:val="0"/>
          <w:color w:val="222244"/>
          <w:sz w:val="22"/>
        </w:rPr>
        <w:t>From Theological Truth to Legal Claim</w:t>
      </w:r>
    </w:p>
    <w:p>
      <w:pPr>
        <w:spacing w:before="0" w:after="120"/>
        <w:jc w:val="both"/>
      </w:pPr>
      <w:r>
        <w:rPr>
          <w:rFonts w:ascii="Arial" w:hAnsi="Arial"/>
          <w:b w:val="0"/>
          <w:i w:val="0"/>
          <w:color w:val="000000"/>
          <w:sz w:val="21"/>
        </w:rPr>
        <w:t>The Two Hands Doctrine is not merely theological. It is legally deployable. The Religious Freedom Restoration Act — RFRA, 42 U.S.C. section 2000bb et seq. — is the statutory bridge that converts the theological truth of the Second Hand into a legally cognizable claim that the enterprise's courts must address.</w:t>
      </w:r>
    </w:p>
    <w:p>
      <w:pPr>
        <w:spacing w:before="0" w:after="120"/>
        <w:jc w:val="both"/>
      </w:pPr>
      <w:r>
        <w:rPr>
          <w:rFonts w:ascii="Arial" w:hAnsi="Arial"/>
          <w:b w:val="0"/>
          <w:i w:val="0"/>
          <w:color w:val="000000"/>
          <w:sz w:val="21"/>
        </w:rPr>
        <w:t>RFRA requires the government to demonstrate a compelling interest pursued by the least restrictive means before substantially burdening a sincerely held religious belief. The living being's belief that they are in the Creator's hand — that the Creator's jurisdiction over them precedes and supersedes the State's — is a sincerely held religious belief documented across the sacred texts identified in this Doctrine, confirmed by the scholarship in the seven volumes of The Sovereign Self, and grounded in a tradition of African ancestral spiritual practice that predates the enterprise by millennia.</w:t>
      </w:r>
    </w:p>
    <w:p>
      <w:pPr>
        <w:spacing w:before="0" w:after="120"/>
        <w:jc w:val="both"/>
      </w:pPr>
      <w:r>
        <w:rPr>
          <w:rFonts w:ascii="Arial" w:hAnsi="Arial"/>
          <w:b w:val="0"/>
          <w:i w:val="0"/>
          <w:color w:val="000000"/>
          <w:sz w:val="21"/>
        </w:rPr>
        <w:t>When the government treats the living being as a commercial unit subject to administrative management — when it imposes obligations, extracts resources, and exercises jurisdiction over the living being as if the Creator's prior claim does not exist — it substantially burdens the sincerely held belief in the Creator's hand. RFRA requires justification for that burden. The justification must be specific to this living being in this circumstance. It must identify a compelling governmental interest in treating as a commercial unit someone who the government's own foundational documents acknowledge is held in the Creator's hand.</w:t>
      </w:r>
    </w:p>
    <w:p>
      <w:pPr>
        <w:spacing w:before="0" w:after="120"/>
        <w:jc w:val="both"/>
      </w:pPr>
      <w:r>
        <w:rPr>
          <w:rFonts w:ascii="Arial" w:hAnsi="Arial"/>
          <w:b w:val="0"/>
          <w:i w:val="0"/>
          <w:color w:val="000000"/>
          <w:sz w:val="21"/>
        </w:rPr>
        <w:t>That justification is not available. Because the enterprise's own admission — the Declaration's acknowledgment that rights come from the Creator — is the concession that the government cannot simultaneously honor and use as the basis for treating the living being as a commercial unit. You cannot acknowledge the Creator as the source of rights and then claim compelling interest in overriding the Creator's jurisdiction.</w:t>
      </w:r>
    </w:p>
    <w:p>
      <w:pPr>
        <w:spacing w:before="120" w:after="120"/>
        <w:ind w:left="288" w:right="288"/>
        <w:jc w:val="both"/>
      </w:pPr>
      <w:r>
        <w:rPr>
          <w:rFonts w:ascii="Arial" w:hAnsi="Arial"/>
          <w:b/>
          <w:i w:val="0"/>
          <w:color w:val="6B0020"/>
          <w:sz w:val="21"/>
        </w:rPr>
        <w:t xml:space="preserve">DOCTRINE FINDING: </w:t>
      </w:r>
      <w:r>
        <w:rPr>
          <w:rFonts w:ascii="Arial" w:hAnsi="Arial"/>
          <w:b w:val="0"/>
          <w:i w:val="0"/>
          <w:color w:val="000000"/>
          <w:sz w:val="21"/>
        </w:rPr>
        <w:t>RFRA is the legal bridge between the theological truth of the Two Hands Doctrine and the legal claim the living being can assert in any proceeding. The sincerely held belief in the Creator's hand is documentable, consistent, and deep. The government's substantial burden on that belief through administrative jurisdiction is demonstrable. The compelling interest justification is unavailable because the government's own foundational documents acknowledge the Creator's prior claim.</w:t>
      </w:r>
    </w:p>
    <w:p>
      <w:pPr>
        <w:spacing w:before="200" w:after="200"/>
        <w:jc w:val="center"/>
        <w:pBdr>
          <w:bottom w:val="single" w:sz="4" w:space="1" w:color="1a1a2e"/>
        </w:pBdr>
      </w:pPr>
    </w:p>
    <w:p>
      <w:pPr>
        <w:spacing w:before="320" w:after="80"/>
        <w:jc w:val="left"/>
        <w:pBdr>
          <w:bottom w:val="single" w:sz="5" w:space="1" w:color="1a1a2e"/>
        </w:pBdr>
      </w:pPr>
      <w:r>
        <w:rPr>
          <w:rFonts w:ascii="Arial" w:hAnsi="Arial"/>
          <w:b/>
          <w:i w:val="0"/>
          <w:color w:val="1A1A2E"/>
          <w:sz w:val="24"/>
        </w:rPr>
        <w:t>SECTION SEVEN: THE DOCTRINE STATED</w:t>
      </w:r>
    </w:p>
    <w:p>
      <w:pPr>
        <w:spacing w:before="200" w:after="60"/>
        <w:jc w:val="left"/>
      </w:pPr>
      <w:r>
        <w:rPr>
          <w:rFonts w:ascii="Arial" w:hAnsi="Arial"/>
          <w:b/>
          <w:i w:val="0"/>
          <w:color w:val="222244"/>
          <w:sz w:val="22"/>
        </w:rPr>
        <w:t>Twelve Propositions</w:t>
      </w:r>
    </w:p>
    <w:p>
      <w:pPr>
        <w:spacing w:before="0" w:after="160"/>
        <w:jc w:val="both"/>
      </w:pPr>
      <w:r>
        <w:rPr>
          <w:rFonts w:ascii="Arial" w:hAnsi="Arial"/>
          <w:b w:val="0"/>
          <w:i w:val="0"/>
          <w:color w:val="000000"/>
          <w:sz w:val="21"/>
        </w:rPr>
        <w:t>The Two Hands Doctrine is stated in twelve propositions. Each proposition is independently supported by the authorities identified in this document. Together they constitute a complete jurisprudential statement of the living being's ground above and beyond the enterprise's claimed jurisdiction.</w:t>
      </w:r>
    </w:p>
    <w:p>
      <w:pPr>
        <w:spacing w:before="140" w:after="60"/>
        <w:jc w:val="both"/>
      </w:pPr>
      <w:r>
        <w:rPr>
          <w:rFonts w:ascii="Arial" w:hAnsi="Arial"/>
          <w:b/>
          <w:i w:val="0"/>
          <w:color w:val="1A1A2E"/>
          <w:sz w:val="22"/>
        </w:rPr>
        <w:t xml:space="preserve">I.  </w:t>
      </w:r>
      <w:r>
        <w:rPr>
          <w:rFonts w:ascii="Arial" w:hAnsi="Arial"/>
          <w:b w:val="0"/>
          <w:i w:val="0"/>
          <w:color w:val="000000"/>
          <w:sz w:val="21"/>
        </w:rPr>
        <w:t>The living being was created by the Creator whose hand holds them prior to and independent of any State, law, or administrative arrangement.</w:t>
      </w:r>
    </w:p>
    <w:p>
      <w:pPr>
        <w:spacing w:before="140" w:after="60"/>
        <w:jc w:val="both"/>
      </w:pPr>
      <w:r>
        <w:rPr>
          <w:rFonts w:ascii="Arial" w:hAnsi="Arial"/>
          <w:b/>
          <w:i w:val="0"/>
          <w:color w:val="1A1A2E"/>
          <w:sz w:val="22"/>
        </w:rPr>
        <w:t xml:space="preserve">II.  </w:t>
      </w:r>
      <w:r>
        <w:rPr>
          <w:rFonts w:ascii="Arial" w:hAnsi="Arial"/>
          <w:b w:val="0"/>
          <w:i w:val="0"/>
          <w:color w:val="000000"/>
          <w:sz w:val="21"/>
        </w:rPr>
        <w:t>The Creator's hand inscribed the living being before any legal instrument recorded them. Isaiah 49:16. The inscription is permanent. No deed, no registry, and no administrative reclassification supersedes it.</w:t>
      </w:r>
    </w:p>
    <w:p>
      <w:pPr>
        <w:spacing w:before="140" w:after="60"/>
        <w:jc w:val="both"/>
      </w:pPr>
      <w:r>
        <w:rPr>
          <w:rFonts w:ascii="Arial" w:hAnsi="Arial"/>
          <w:b/>
          <w:i w:val="0"/>
          <w:color w:val="1A1A2E"/>
          <w:sz w:val="22"/>
        </w:rPr>
        <w:t xml:space="preserve">III.  </w:t>
      </w:r>
      <w:r>
        <w:rPr>
          <w:rFonts w:ascii="Arial" w:hAnsi="Arial"/>
          <w:b w:val="0"/>
          <w:i w:val="0"/>
          <w:color w:val="000000"/>
          <w:sz w:val="21"/>
        </w:rPr>
        <w:t>No one can snatch the living being out of the Creator's hand. John 10:28-29. This includes the State, the court, the enterprise, the admiralty jurisdiction, the legal person construct, and every other mechanism the enterprise has used to claim jurisdiction over what the Creator holds.</w:t>
      </w:r>
    </w:p>
    <w:p>
      <w:pPr>
        <w:spacing w:before="140" w:after="60"/>
        <w:jc w:val="both"/>
      </w:pPr>
      <w:r>
        <w:rPr>
          <w:rFonts w:ascii="Arial" w:hAnsi="Arial"/>
          <w:b/>
          <w:i w:val="0"/>
          <w:color w:val="1A1A2E"/>
          <w:sz w:val="22"/>
        </w:rPr>
        <w:t xml:space="preserve">IV.  </w:t>
      </w:r>
      <w:r>
        <w:rPr>
          <w:rFonts w:ascii="Arial" w:hAnsi="Arial"/>
          <w:b w:val="0"/>
          <w:i w:val="0"/>
          <w:color w:val="000000"/>
          <w:sz w:val="21"/>
        </w:rPr>
        <w:t>The souls of the righteous are in the hand of God and no torment will ever touch them. Wisdom of Solomon 3:1. The torments the enterprise has inflicted — from the maritime infrastructure of slavery through the present-tense disparities documented in the Athens Indictment — are not the final word on the living being's condition.</w:t>
      </w:r>
    </w:p>
    <w:p>
      <w:pPr>
        <w:spacing w:before="140" w:after="60"/>
        <w:jc w:val="both"/>
      </w:pPr>
      <w:r>
        <w:rPr>
          <w:rFonts w:ascii="Arial" w:hAnsi="Arial"/>
          <w:b/>
          <w:i w:val="0"/>
          <w:color w:val="1A1A2E"/>
          <w:sz w:val="22"/>
        </w:rPr>
        <w:t xml:space="preserve">V.  </w:t>
      </w:r>
      <w:r>
        <w:rPr>
          <w:rFonts w:ascii="Arial" w:hAnsi="Arial"/>
          <w:b w:val="0"/>
          <w:i w:val="0"/>
          <w:color w:val="000000"/>
          <w:sz w:val="21"/>
        </w:rPr>
        <w:t>The Creator's hand is present in every jurisdiction the enterprise claims. Psalm 139:10. There is no territory, no admiralty sea, no administrative domain where the Creator's prior presence does not supersede the enterprise's subsequent claim.</w:t>
      </w:r>
    </w:p>
    <w:p>
      <w:pPr>
        <w:spacing w:before="140" w:after="60"/>
        <w:jc w:val="both"/>
      </w:pPr>
      <w:r>
        <w:rPr>
          <w:rFonts w:ascii="Arial" w:hAnsi="Arial"/>
          <w:b/>
          <w:i w:val="0"/>
          <w:color w:val="1A1A2E"/>
          <w:sz w:val="22"/>
        </w:rPr>
        <w:t xml:space="preserve">VI.  </w:t>
      </w:r>
      <w:r>
        <w:rPr>
          <w:rFonts w:ascii="Arial" w:hAnsi="Arial"/>
          <w:b w:val="0"/>
          <w:i w:val="0"/>
          <w:color w:val="000000"/>
          <w:sz w:val="21"/>
        </w:rPr>
        <w:t>The Ethiopian canon — preserved by the African tradition through every attempt to erase it — bears specific witness to the condition of the living being under the enterprise's hand and to the Creator's acknowledgment of that condition. 1 Enoch 47:1-2. Its preservation is itself evidence of the hand that holds what the enterprise could not extinguish.</w:t>
      </w:r>
    </w:p>
    <w:p>
      <w:pPr>
        <w:spacing w:before="140" w:after="60"/>
        <w:jc w:val="both"/>
      </w:pPr>
      <w:r>
        <w:rPr>
          <w:rFonts w:ascii="Arial" w:hAnsi="Arial"/>
          <w:b/>
          <w:i w:val="0"/>
          <w:color w:val="1A1A2E"/>
          <w:sz w:val="22"/>
        </w:rPr>
        <w:t xml:space="preserve">VII.  </w:t>
      </w:r>
      <w:r>
        <w:rPr>
          <w:rFonts w:ascii="Arial" w:hAnsi="Arial"/>
          <w:b w:val="0"/>
          <w:i w:val="0"/>
          <w:color w:val="000000"/>
          <w:sz w:val="21"/>
        </w:rPr>
        <w:t>The founders of the enterprise acknowledged in their own foundational document that rights are endowed by the Creator. Declaration of Independence, 1776. This acknowledgment is the enterprise's own admission of the Creator's prior and superior authority over the source of the rights the enterprise claims to govern.</w:t>
      </w:r>
    </w:p>
    <w:p>
      <w:pPr>
        <w:spacing w:before="140" w:after="60"/>
        <w:jc w:val="both"/>
      </w:pPr>
      <w:r>
        <w:rPr>
          <w:rFonts w:ascii="Arial" w:hAnsi="Arial"/>
          <w:b/>
          <w:i w:val="0"/>
          <w:color w:val="1A1A2E"/>
          <w:sz w:val="22"/>
        </w:rPr>
        <w:t xml:space="preserve">VIII.  </w:t>
      </w:r>
      <w:r>
        <w:rPr>
          <w:rFonts w:ascii="Arial" w:hAnsi="Arial"/>
          <w:b w:val="0"/>
          <w:i w:val="0"/>
          <w:color w:val="000000"/>
          <w:sz w:val="21"/>
        </w:rPr>
        <w:t>The First Hand — the enterprise's manus, the seizing hand, the hand of e-manus-capere — seized what it did not own. Seizure is not ownership. The enterprise's hand has always held the living being by force, not by right. The etymology of emancipation confesses this.</w:t>
      </w:r>
    </w:p>
    <w:p>
      <w:pPr>
        <w:spacing w:before="140" w:after="60"/>
        <w:jc w:val="both"/>
      </w:pPr>
      <w:r>
        <w:rPr>
          <w:rFonts w:ascii="Arial" w:hAnsi="Arial"/>
          <w:b/>
          <w:i w:val="0"/>
          <w:color w:val="1A1A2E"/>
          <w:sz w:val="22"/>
        </w:rPr>
        <w:t xml:space="preserve">IX.  </w:t>
      </w:r>
      <w:r>
        <w:rPr>
          <w:rFonts w:ascii="Arial" w:hAnsi="Arial"/>
          <w:b w:val="0"/>
          <w:i w:val="0"/>
          <w:color w:val="000000"/>
          <w:sz w:val="21"/>
        </w:rPr>
        <w:t>The Second Hand — the Creator's hand, the holding hand, the inscribing hand — holds what cannot be taken. Its jurisdiction is prior, superior, and permanent. It was present before the enterprise and will be present after it.</w:t>
      </w:r>
    </w:p>
    <w:p>
      <w:pPr>
        <w:spacing w:before="140" w:after="60"/>
        <w:jc w:val="both"/>
      </w:pPr>
      <w:r>
        <w:rPr>
          <w:rFonts w:ascii="Arial" w:hAnsi="Arial"/>
          <w:b/>
          <w:i w:val="0"/>
          <w:color w:val="1A1A2E"/>
          <w:sz w:val="22"/>
        </w:rPr>
        <w:t xml:space="preserve">X.  </w:t>
      </w:r>
      <w:r>
        <w:rPr>
          <w:rFonts w:ascii="Arial" w:hAnsi="Arial"/>
          <w:b w:val="0"/>
          <w:i w:val="0"/>
          <w:color w:val="000000"/>
          <w:sz w:val="21"/>
        </w:rPr>
        <w:t>When the two jurisdictions conflict — when the enterprise's administrative claim over the legal person conflicts with the Creator's acknowledged prior claim over the living being — the Creator's jurisdiction prevails by the enterprise's own admission in the Declaration of Independence.</w:t>
      </w:r>
    </w:p>
    <w:p>
      <w:pPr>
        <w:spacing w:before="140" w:after="60"/>
        <w:jc w:val="both"/>
      </w:pPr>
      <w:r>
        <w:rPr>
          <w:rFonts w:ascii="Arial" w:hAnsi="Arial"/>
          <w:b/>
          <w:i w:val="0"/>
          <w:color w:val="1A1A2E"/>
          <w:sz w:val="22"/>
        </w:rPr>
        <w:t xml:space="preserve">XI.  </w:t>
      </w:r>
      <w:r>
        <w:rPr>
          <w:rFonts w:ascii="Arial" w:hAnsi="Arial"/>
          <w:b w:val="0"/>
          <w:i w:val="0"/>
          <w:color w:val="000000"/>
          <w:sz w:val="21"/>
        </w:rPr>
        <w:t>RFRA is the statutory instrument through which the Two Hands Doctrine becomes a legally cognizable claim. The sincerely held belief in the Creator's hand is protected. The government's burden on that belief requires justification. The justification is unavailable because the government's own foundational documents acknowledge the claim it would need to overcome.</w:t>
      </w:r>
    </w:p>
    <w:p>
      <w:pPr>
        <w:spacing w:before="140" w:after="60"/>
        <w:jc w:val="both"/>
      </w:pPr>
      <w:r>
        <w:rPr>
          <w:rFonts w:ascii="Arial" w:hAnsi="Arial"/>
          <w:b/>
          <w:i w:val="0"/>
          <w:color w:val="1A1A2E"/>
          <w:sz w:val="22"/>
        </w:rPr>
        <w:t xml:space="preserve">XII.  </w:t>
      </w:r>
      <w:r>
        <w:rPr>
          <w:rFonts w:ascii="Arial" w:hAnsi="Arial"/>
          <w:b w:val="0"/>
          <w:i w:val="0"/>
          <w:color w:val="000000"/>
          <w:sz w:val="21"/>
        </w:rPr>
        <w:t>The living being who holds the Two Hands Doctrine does not stand as a petitioner before the enterprise. They stand as a living being in the Creator's hand — documented, grounded, and holding the enterprise to the standard its own foundational documents set for what legitimate authority requires.</w:t>
      </w:r>
    </w:p>
    <w:p>
      <w:pPr>
        <w:spacing w:before="200" w:after="200"/>
        <w:jc w:val="center"/>
        <w:pBdr>
          <w:bottom w:val="single" w:sz="4" w:space="1" w:color="1a1a2e"/>
        </w:pBdr>
      </w:pPr>
    </w:p>
    <w:p>
      <w:pPr>
        <w:spacing w:before="320" w:after="80"/>
        <w:jc w:val="left"/>
        <w:pBdr>
          <w:bottom w:val="single" w:sz="5" w:space="1" w:color="1a1a2e"/>
        </w:pBdr>
      </w:pPr>
      <w:r>
        <w:rPr>
          <w:rFonts w:ascii="Arial" w:hAnsi="Arial"/>
          <w:b/>
          <w:i w:val="0"/>
          <w:color w:val="1A1A2E"/>
          <w:sz w:val="24"/>
        </w:rPr>
        <w:t>SECTION EIGHT: THE LIVING BEING'S STANDING</w:t>
      </w:r>
    </w:p>
    <w:p>
      <w:pPr>
        <w:spacing w:before="200" w:after="60"/>
        <w:jc w:val="left"/>
      </w:pPr>
      <w:r>
        <w:rPr>
          <w:rFonts w:ascii="Arial" w:hAnsi="Arial"/>
          <w:b/>
          <w:i w:val="0"/>
          <w:color w:val="222244"/>
          <w:sz w:val="22"/>
        </w:rPr>
        <w:t>Under the Two Hands Doctrine</w:t>
      </w:r>
    </w:p>
    <w:p>
      <w:pPr>
        <w:spacing w:before="0" w:after="120"/>
        <w:jc w:val="both"/>
      </w:pPr>
      <w:r>
        <w:rPr>
          <w:rFonts w:ascii="Arial" w:hAnsi="Arial"/>
          <w:b w:val="0"/>
          <w:i w:val="0"/>
          <w:color w:val="000000"/>
          <w:sz w:val="21"/>
        </w:rPr>
        <w:t>The living being who carries the Two Hands Doctrine into any proceeding carries something the enterprise has never had to answer in its complete form.</w:t>
      </w:r>
    </w:p>
    <w:p>
      <w:pPr>
        <w:spacing w:before="0" w:after="120"/>
        <w:jc w:val="both"/>
      </w:pPr>
      <w:r>
        <w:rPr>
          <w:rFonts w:ascii="Arial" w:hAnsi="Arial"/>
          <w:b w:val="0"/>
          <w:i w:val="0"/>
          <w:color w:val="000000"/>
          <w:sz w:val="21"/>
        </w:rPr>
        <w:t>Not a rejection of all law — the Doctrine does not ask the living being to reject the system entirely. It asks them to stand above it — to engage with it from the ground of the Creator's prior claim, to demand that it honor its own highest stated principles, and to refuse the enterprise's implicit demand that the living being treat the legal person construct as if it were the living being and the State's jurisdiction as if it were the Creator's.</w:t>
      </w:r>
    </w:p>
    <w:p>
      <w:pPr>
        <w:spacing w:before="0" w:after="120"/>
        <w:jc w:val="both"/>
      </w:pPr>
      <w:r>
        <w:rPr>
          <w:rFonts w:ascii="Arial" w:hAnsi="Arial"/>
          <w:b w:val="0"/>
          <w:i w:val="0"/>
          <w:color w:val="000000"/>
          <w:sz w:val="21"/>
        </w:rPr>
        <w:t>In every proceeding the living being brings the Declaration: the enterprise's own admission that rights come from the Creator. They bring Isaiah: the Creator's inscription of the living being in the palms of divine hands before any law existed. They bring John: the specific statement that no one can snatch what the Creator holds. They bring the Wisdom of Solomon: the protection of those who have been under the enterprise's torment. They bring the Ethiopian canon: the African tradition's witness that survived the enterprise's attempt to silence it. They bring RFRA: the statutory vehicle that converts all of this into a legally cognizable claim the enterprise's courts must address.</w:t>
      </w:r>
    </w:p>
    <w:p>
      <w:pPr>
        <w:spacing w:before="0" w:after="200"/>
        <w:jc w:val="both"/>
      </w:pPr>
      <w:r>
        <w:rPr>
          <w:rFonts w:ascii="Arial" w:hAnsi="Arial"/>
          <w:b w:val="0"/>
          <w:i w:val="0"/>
          <w:color w:val="000000"/>
          <w:sz w:val="21"/>
        </w:rPr>
        <w:t>And they bring the Counter-Canon, the Declaration of Standing, the Formal Legal Doctrine, the Toolkits, and the Indictments: the complete Odyssey-1 system that grounds every claim in the system's own language, its own cases, its own statutes, and its own foundational admissions.</w:t>
      </w:r>
    </w:p>
    <w:p>
      <w:pPr>
        <w:spacing w:before="120" w:after="120"/>
        <w:ind w:left="432" w:right="432"/>
        <w:jc w:val="center"/>
      </w:pPr>
      <w:r>
        <w:rPr>
          <w:rFonts w:ascii="Arial" w:hAnsi="Arial"/>
          <w:b w:val="0"/>
          <w:i/>
          <w:color w:val="7A5C00"/>
          <w:sz w:val="22"/>
        </w:rPr>
        <w:t>You are in the Creator's hand.</w:t>
      </w:r>
    </w:p>
    <w:p>
      <w:pPr>
        <w:spacing w:before="120" w:after="120"/>
        <w:ind w:left="432" w:right="432"/>
        <w:jc w:val="center"/>
      </w:pPr>
      <w:r>
        <w:rPr>
          <w:rFonts w:ascii="Arial" w:hAnsi="Arial"/>
          <w:b w:val="0"/>
          <w:i/>
          <w:color w:val="7A5C00"/>
          <w:sz w:val="22"/>
        </w:rPr>
        <w:t>You were there before the enterprise was built.</w:t>
      </w:r>
    </w:p>
    <w:p>
      <w:pPr>
        <w:spacing w:before="120" w:after="120"/>
        <w:ind w:left="432" w:right="432"/>
        <w:jc w:val="center"/>
      </w:pPr>
      <w:r>
        <w:rPr>
          <w:rFonts w:ascii="Arial" w:hAnsi="Arial"/>
          <w:b w:val="0"/>
          <w:i/>
          <w:color w:val="7A5C00"/>
          <w:sz w:val="22"/>
        </w:rPr>
        <w:t>You will be there after it falls.</w:t>
      </w:r>
    </w:p>
    <w:p>
      <w:pPr>
        <w:spacing w:before="120" w:after="120"/>
        <w:ind w:left="432" w:right="432"/>
        <w:jc w:val="center"/>
      </w:pPr>
      <w:r>
        <w:rPr>
          <w:rFonts w:ascii="Arial" w:hAnsi="Arial"/>
          <w:b w:val="0"/>
          <w:i/>
          <w:color w:val="7A5C00"/>
          <w:sz w:val="22"/>
        </w:rPr>
        <w:t>The enterprise's seizing hand never had the right to close.</w:t>
      </w:r>
    </w:p>
    <w:p>
      <w:pPr>
        <w:spacing w:before="120" w:after="120"/>
        <w:ind w:left="432" w:right="432"/>
        <w:jc w:val="center"/>
      </w:pPr>
      <w:r>
        <w:rPr>
          <w:rFonts w:ascii="Arial" w:hAnsi="Arial"/>
          <w:b w:val="0"/>
          <w:i/>
          <w:color w:val="7A5C00"/>
          <w:sz w:val="22"/>
        </w:rPr>
        <w:t>The Creator's holding hand has never let go.</w:t>
      </w:r>
    </w:p>
    <w:p>
      <w:pPr>
        <w:spacing w:before="200" w:after="80"/>
        <w:jc w:val="center"/>
      </w:pPr>
      <w:r>
        <w:rPr>
          <w:rFonts w:ascii="Arial" w:hAnsi="Arial"/>
          <w:b/>
          <w:i/>
          <w:color w:val="1A003A"/>
          <w:sz w:val="26"/>
        </w:rPr>
        <w:t>No one can snatch them out of my Father's hand.</w:t>
      </w:r>
    </w:p>
    <w:p>
      <w:pPr>
        <w:spacing w:before="0" w:after="80"/>
        <w:jc w:val="center"/>
      </w:pPr>
      <w:r>
        <w:rPr>
          <w:rFonts w:ascii="Arial" w:hAnsi="Arial"/>
          <w:b w:val="0"/>
          <w:i/>
          <w:color w:val="555577"/>
          <w:sz w:val="20"/>
        </w:rPr>
        <w:t>John 10:29</w:t>
      </w:r>
    </w:p>
    <w:p>
      <w:pPr>
        <w:spacing w:before="160" w:after="120"/>
        <w:jc w:val="center"/>
        <w:pBdr>
          <w:bottom w:val="single" w:sz="4" w:space="1" w:color="1a1a2e"/>
        </w:pBdr>
      </w:pPr>
    </w:p>
    <w:p>
      <w:pPr>
        <w:spacing w:before="80" w:after="40"/>
        <w:jc w:val="center"/>
      </w:pPr>
      <w:r>
        <w:rPr>
          <w:rFonts w:ascii="Arial" w:hAnsi="Arial"/>
          <w:b/>
          <w:i w:val="0"/>
          <w:color w:val="1A1A2E"/>
          <w:sz w:val="24"/>
        </w:rPr>
        <w:t>Rickey Allan Howard</w:t>
      </w:r>
    </w:p>
    <w:p>
      <w:pPr>
        <w:spacing w:before="0" w:after="40"/>
        <w:jc w:val="center"/>
      </w:pPr>
      <w:r>
        <w:rPr>
          <w:rFonts w:ascii="Arial" w:hAnsi="Arial"/>
          <w:b w:val="0"/>
          <w:i w:val="0"/>
          <w:color w:val="555577"/>
          <w:sz w:val="20"/>
        </w:rPr>
        <w:t>Athens, Georgia  |  2026</w:t>
      </w:r>
    </w:p>
    <w:p>
      <w:pPr>
        <w:spacing w:before="0" w:after="160"/>
        <w:jc w:val="center"/>
      </w:pPr>
      <w:r>
        <w:rPr>
          <w:rFonts w:ascii="Arial" w:hAnsi="Arial"/>
          <w:b w:val="0"/>
          <w:i/>
          <w:color w:val="555577"/>
          <w:sz w:val="18"/>
        </w:rPr>
        <w:t>The Odyssey-1 System</w:t>
      </w:r>
    </w:p>
    <w:p>
      <w:r>
        <w:br w:type="page"/>
      </w:r>
    </w:p>
    <w:p>
      <w:pPr>
        <w:spacing w:before="0" w:after="120"/>
        <w:jc w:val="center"/>
      </w:pPr>
      <w:r>
        <w:rPr>
          <w:rFonts w:ascii="Arial" w:hAnsi="Arial"/>
          <w:b/>
          <w:i w:val="0"/>
          <w:color w:val="1A1A2E"/>
          <w:sz w:val="24"/>
        </w:rPr>
        <w:t>TABLE OF SACRED AND LEGAL AUTHORITIES</w:t>
      </w:r>
    </w:p>
    <w:p>
      <w:pPr>
        <w:spacing w:before="200" w:after="60"/>
        <w:jc w:val="left"/>
        <w:pBdr>
          <w:bottom w:val="single" w:sz="3" w:space="1" w:color="444466"/>
        </w:pBdr>
      </w:pPr>
      <w:r>
        <w:rPr>
          <w:rFonts w:ascii="Arial" w:hAnsi="Arial"/>
          <w:b/>
          <w:i w:val="0"/>
          <w:color w:val="222244"/>
          <w:sz w:val="22"/>
        </w:rPr>
        <w:t>Sacred Texts — The Biblical Canon</w:t>
      </w:r>
    </w:p>
    <w:p>
      <w:pPr>
        <w:pStyle w:val="ListBullet"/>
        <w:spacing w:after="60"/>
        <w:ind w:left="576"/>
      </w:pPr>
      <w:r>
        <w:rPr>
          <w:rFonts w:ascii="Arial" w:hAnsi="Arial"/>
          <w:sz w:val="21"/>
        </w:rPr>
        <w:t>Isaiah 41:10; 49:16 (Old Testament — Creator's hand as upholding and inscribing)</w:t>
      </w:r>
    </w:p>
    <w:p>
      <w:pPr>
        <w:pStyle w:val="ListBullet"/>
        <w:spacing w:after="60"/>
        <w:ind w:left="576"/>
      </w:pPr>
      <w:r>
        <w:rPr>
          <w:rFonts w:ascii="Arial" w:hAnsi="Arial"/>
          <w:sz w:val="21"/>
        </w:rPr>
        <w:t>Psalm 139:7-10 (Old Testament — Creator's hand across all jurisdictions)</w:t>
      </w:r>
    </w:p>
    <w:p>
      <w:pPr>
        <w:pStyle w:val="ListBullet"/>
        <w:spacing w:after="60"/>
        <w:ind w:left="576"/>
      </w:pPr>
      <w:r>
        <w:rPr>
          <w:rFonts w:ascii="Arial" w:hAnsi="Arial"/>
          <w:sz w:val="21"/>
        </w:rPr>
        <w:t>John 10:27-29 (New Testament — no one can snatch from the Creator's hand)</w:t>
      </w:r>
    </w:p>
    <w:p>
      <w:pPr>
        <w:pStyle w:val="ListBullet"/>
        <w:spacing w:after="60"/>
        <w:ind w:left="576"/>
      </w:pPr>
      <w:r>
        <w:rPr>
          <w:rFonts w:ascii="Arial" w:hAnsi="Arial"/>
          <w:sz w:val="21"/>
        </w:rPr>
        <w:t>Romans 8:38-39 (New Testament — nothing separates from the Creator's love, including rulers)</w:t>
      </w:r>
    </w:p>
    <w:p>
      <w:pPr>
        <w:pStyle w:val="ListBullet"/>
        <w:spacing w:after="60"/>
        <w:ind w:left="576"/>
      </w:pPr>
      <w:r>
        <w:rPr>
          <w:rFonts w:ascii="Arial" w:hAnsi="Arial"/>
          <w:sz w:val="21"/>
        </w:rPr>
        <w:t>Wisdom of Solomon 3:1-3 (Apocrypha — souls of the righteous in the hand of God)</w:t>
      </w:r>
    </w:p>
    <w:p>
      <w:pPr>
        <w:spacing w:before="200" w:after="60"/>
        <w:jc w:val="left"/>
        <w:pBdr>
          <w:bottom w:val="single" w:sz="3" w:space="1" w:color="444466"/>
        </w:pBdr>
      </w:pPr>
      <w:r>
        <w:rPr>
          <w:rFonts w:ascii="Arial" w:hAnsi="Arial"/>
          <w:b/>
          <w:i w:val="0"/>
          <w:color w:val="222244"/>
          <w:sz w:val="22"/>
        </w:rPr>
        <w:t>Sacred Texts — The Ethiopian Canon</w:t>
      </w:r>
    </w:p>
    <w:p>
      <w:pPr>
        <w:pStyle w:val="ListBullet"/>
        <w:spacing w:after="60"/>
        <w:ind w:left="576"/>
      </w:pPr>
      <w:r>
        <w:rPr>
          <w:rFonts w:ascii="Arial" w:hAnsi="Arial"/>
          <w:sz w:val="21"/>
        </w:rPr>
        <w:t>1 Enoch 47:1-2 (Ethiopian Canon — the blood of the righteous seen and heard)</w:t>
      </w:r>
    </w:p>
    <w:p>
      <w:pPr>
        <w:pStyle w:val="ListBullet"/>
        <w:spacing w:after="60"/>
        <w:ind w:left="576"/>
      </w:pPr>
      <w:r>
        <w:rPr>
          <w:rFonts w:ascii="Arial" w:hAnsi="Arial"/>
          <w:sz w:val="21"/>
        </w:rPr>
        <w:t>1 Enoch 96:5 (Ethiopian Canon — woe to those who tread underfoot the lowly)</w:t>
      </w:r>
    </w:p>
    <w:p>
      <w:pPr>
        <w:pStyle w:val="ListBullet"/>
        <w:spacing w:after="60"/>
        <w:ind w:left="576"/>
      </w:pPr>
      <w:r>
        <w:rPr>
          <w:rFonts w:ascii="Arial" w:hAnsi="Arial"/>
          <w:sz w:val="21"/>
        </w:rPr>
        <w:t>Book of Jubilees 1:28 (Ethiopian Canon — write it down, make the record)</w:t>
      </w:r>
    </w:p>
    <w:p>
      <w:pPr>
        <w:pStyle w:val="ListBullet"/>
        <w:spacing w:after="60"/>
        <w:ind w:left="576"/>
      </w:pPr>
      <w:r>
        <w:rPr>
          <w:rFonts w:ascii="Arial" w:hAnsi="Arial"/>
          <w:sz w:val="21"/>
        </w:rPr>
        <w:t>Ethiopian Orthodox Tewahedo Church Canon: 81 books, oldest continuous African Christian tradition</w:t>
      </w:r>
    </w:p>
    <w:p>
      <w:pPr>
        <w:spacing w:before="200" w:after="60"/>
        <w:jc w:val="left"/>
        <w:pBdr>
          <w:bottom w:val="single" w:sz="3" w:space="1" w:color="444466"/>
        </w:pBdr>
      </w:pPr>
      <w:r>
        <w:rPr>
          <w:rFonts w:ascii="Arial" w:hAnsi="Arial"/>
          <w:b/>
          <w:i w:val="0"/>
          <w:color w:val="222244"/>
          <w:sz w:val="22"/>
        </w:rPr>
        <w:t>Legal Authorities</w:t>
      </w:r>
    </w:p>
    <w:p>
      <w:pPr>
        <w:pStyle w:val="ListBullet"/>
        <w:spacing w:after="60"/>
        <w:ind w:left="576"/>
      </w:pPr>
      <w:r>
        <w:rPr>
          <w:rFonts w:ascii="Arial" w:hAnsi="Arial"/>
          <w:sz w:val="21"/>
        </w:rPr>
        <w:t>Declaration of Independence (1776): endowed by their Creator with certain unalienable Rights</w:t>
      </w:r>
    </w:p>
    <w:p>
      <w:pPr>
        <w:pStyle w:val="ListBullet"/>
        <w:spacing w:after="60"/>
        <w:ind w:left="576"/>
      </w:pPr>
      <w:r>
        <w:rPr>
          <w:rFonts w:ascii="Arial" w:hAnsi="Arial"/>
          <w:sz w:val="21"/>
        </w:rPr>
        <w:t>U.S. Const. amend. I (Free Exercise of Religion)</w:t>
      </w:r>
    </w:p>
    <w:p>
      <w:pPr>
        <w:pStyle w:val="ListBullet"/>
        <w:spacing w:after="60"/>
        <w:ind w:left="576"/>
      </w:pPr>
      <w:r>
        <w:rPr>
          <w:rFonts w:ascii="Arial" w:hAnsi="Arial"/>
          <w:sz w:val="21"/>
        </w:rPr>
        <w:t>Religious Freedom Restoration Act, 42 U.S.C. section 2000bb et seq.</w:t>
      </w:r>
    </w:p>
    <w:p>
      <w:pPr>
        <w:pStyle w:val="ListBullet"/>
        <w:spacing w:after="60"/>
        <w:ind w:left="576"/>
      </w:pPr>
      <w:r>
        <w:rPr>
          <w:rFonts w:ascii="Arial" w:hAnsi="Arial"/>
          <w:sz w:val="21"/>
        </w:rPr>
        <w:t>Georgia Religious Freedom Restoration Act, O.C.G.A. section 50-3-1 et seq.</w:t>
      </w:r>
    </w:p>
    <w:p>
      <w:pPr>
        <w:pStyle w:val="ListBullet"/>
        <w:spacing w:after="60"/>
        <w:ind w:left="576"/>
      </w:pPr>
      <w:r>
        <w:rPr>
          <w:rFonts w:ascii="Arial" w:hAnsi="Arial"/>
          <w:sz w:val="21"/>
        </w:rPr>
        <w:t>United States v. Seeger, 380 U.S. 163 (1965): sincerely held belief standard</w:t>
      </w:r>
    </w:p>
    <w:p>
      <w:pPr>
        <w:pStyle w:val="ListBullet"/>
        <w:spacing w:after="60"/>
        <w:ind w:left="576"/>
      </w:pPr>
      <w:r>
        <w:rPr>
          <w:rFonts w:ascii="Arial" w:hAnsi="Arial"/>
          <w:sz w:val="21"/>
        </w:rPr>
        <w:t>Burwell v. Hobby Lobby Stores, Inc., 573 U.S. 682 (2014): RFRA substantial burden</w:t>
      </w:r>
    </w:p>
    <w:p>
      <w:pPr>
        <w:pStyle w:val="ListBullet"/>
        <w:spacing w:after="60"/>
        <w:ind w:left="576"/>
      </w:pPr>
      <w:r>
        <w:rPr>
          <w:rFonts w:ascii="Arial" w:hAnsi="Arial"/>
          <w:sz w:val="21"/>
        </w:rPr>
        <w:t>Gonzales v. O Centro, 546 U.S. 418 (2006): compelling interest must be specific</w:t>
      </w:r>
    </w:p>
    <w:p>
      <w:pPr>
        <w:pStyle w:val="ListBullet"/>
        <w:spacing w:after="60"/>
        <w:ind w:left="576"/>
      </w:pPr>
      <w:r>
        <w:rPr>
          <w:rFonts w:ascii="Arial" w:hAnsi="Arial"/>
          <w:sz w:val="21"/>
        </w:rPr>
        <w:t>Fulton v. City of Philadelphia, 593 U.S. 522 (2021): government must accommodate</w:t>
      </w:r>
    </w:p>
    <w:p>
      <w:pPr>
        <w:pStyle w:val="ListBullet"/>
        <w:spacing w:after="60"/>
        <w:ind w:left="576"/>
      </w:pPr>
      <w:r>
        <w:rPr>
          <w:rFonts w:ascii="Arial" w:hAnsi="Arial"/>
          <w:sz w:val="21"/>
        </w:rPr>
        <w:t>ICCPR, Article 18: freedom of thought, conscience, and religion</w:t>
      </w:r>
    </w:p>
    <w:p>
      <w:pPr>
        <w:spacing w:before="200" w:after="60"/>
        <w:jc w:val="left"/>
        <w:pBdr>
          <w:bottom w:val="single" w:sz="3" w:space="1" w:color="444466"/>
        </w:pBdr>
      </w:pPr>
      <w:r>
        <w:rPr>
          <w:rFonts w:ascii="Arial" w:hAnsi="Arial"/>
          <w:b/>
          <w:i w:val="0"/>
          <w:color w:val="222244"/>
          <w:sz w:val="22"/>
        </w:rPr>
        <w:t>The Odyssey-1 System</w:t>
      </w:r>
    </w:p>
    <w:p>
      <w:pPr>
        <w:pStyle w:val="ListBullet"/>
        <w:spacing w:after="60"/>
        <w:ind w:left="576"/>
      </w:pPr>
      <w:r>
        <w:rPr>
          <w:rFonts w:ascii="Arial" w:hAnsi="Arial"/>
          <w:sz w:val="21"/>
        </w:rPr>
        <w:t>Rickey Allan Howard, Declaration of Standing (2026)</w:t>
      </w:r>
    </w:p>
    <w:p>
      <w:pPr>
        <w:pStyle w:val="ListBullet"/>
        <w:spacing w:after="60"/>
        <w:ind w:left="576"/>
      </w:pPr>
      <w:r>
        <w:rPr>
          <w:rFonts w:ascii="Arial" w:hAnsi="Arial"/>
          <w:sz w:val="21"/>
        </w:rPr>
        <w:t>Rickey Allan Howard, The Doctrine of Pre-Political Sovereign Being (2026)</w:t>
      </w:r>
    </w:p>
    <w:p>
      <w:pPr>
        <w:pStyle w:val="ListBullet"/>
        <w:spacing w:after="60"/>
        <w:ind w:left="576"/>
      </w:pPr>
      <w:r>
        <w:rPr>
          <w:rFonts w:ascii="Arial" w:hAnsi="Arial"/>
          <w:sz w:val="21"/>
        </w:rPr>
        <w:t>Rickey Allan Howard, The Founding Crime: A Jurisprudential Indictment (2026)</w:t>
      </w:r>
    </w:p>
    <w:p>
      <w:pPr>
        <w:pStyle w:val="ListBullet"/>
        <w:spacing w:after="60"/>
        <w:ind w:left="576"/>
      </w:pPr>
      <w:r>
        <w:rPr>
          <w:rFonts w:ascii="Arial" w:hAnsi="Arial"/>
          <w:sz w:val="21"/>
        </w:rPr>
        <w:t>Rickey Allan Howard, The Athens Indictment (2026)</w:t>
      </w:r>
    </w:p>
    <w:p>
      <w:pPr>
        <w:pStyle w:val="ListBullet"/>
        <w:spacing w:after="60"/>
        <w:ind w:left="576"/>
      </w:pPr>
      <w:r>
        <w:rPr>
          <w:rFonts w:ascii="Arial" w:hAnsi="Arial"/>
          <w:sz w:val="21"/>
        </w:rPr>
        <w:t>Rickey Allan Howard, The Counter-Canon: A Dictionary of Living Law, Volumes One-Eight (2026)</w:t>
      </w:r>
    </w:p>
    <w:p>
      <w:pPr>
        <w:pStyle w:val="ListBullet"/>
        <w:spacing w:after="60"/>
        <w:ind w:left="576"/>
      </w:pPr>
      <w:r>
        <w:rPr>
          <w:rFonts w:ascii="Arial" w:hAnsi="Arial"/>
          <w:sz w:val="21"/>
        </w:rPr>
        <w:t>Rickey Allan Howard, The Sovereign Self: Reclaiming Divine Intent in Law and Governance, Volumes I-VII (2025-2026)</w:t>
      </w:r>
    </w:p>
    <w:p>
      <w:pPr>
        <w:pStyle w:val="ListBullet"/>
        <w:spacing w:after="60"/>
        <w:ind w:left="576"/>
      </w:pPr>
      <w:r>
        <w:rPr>
          <w:rFonts w:ascii="Arial" w:hAnsi="Arial"/>
          <w:sz w:val="21"/>
        </w:rPr>
        <w:t>Rickey Allan Howard, The Unified Bio-Cosmic Generator Model (2026)</w:t>
      </w:r>
    </w:p>
    <w:p>
      <w:r>
        <w:br w:type="page"/>
      </w:r>
    </w:p>
    <w:p>
      <w:pPr>
        <w:spacing w:before="0" w:after="80"/>
        <w:jc w:val="center"/>
        <w:pBdr>
          <w:bottom w:val="single" w:sz="2" w:space="1" w:color="1a1a2e"/>
        </w:pBdr>
      </w:pPr>
    </w:p>
    <w:p>
      <w:pPr>
        <w:spacing w:before="40" w:after="0"/>
        <w:jc w:val="center"/>
      </w:pPr>
      <w:r>
        <w:rPr>
          <w:rFonts w:ascii="Arial" w:hAnsi="Arial"/>
          <w:b w:val="0"/>
          <w:i/>
          <w:color w:val="555577"/>
          <w:sz w:val="21"/>
        </w:rPr>
        <w:t>Copyright 2026 Rickey Allan Howard. All rights reserved. Free reproduction permitted for non-commercial use with attribution. Part of the Odyssey-1 System.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