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1A1A2E"/>
          <w:sz w:val="40"/>
        </w:rPr>
        <w:t>THE FORUM BEYOND THE FORUM</w:t>
      </w:r>
    </w:p>
    <w:p>
      <w:pPr>
        <w:spacing w:before="0" w:after="40"/>
        <w:jc w:val="center"/>
      </w:pPr>
      <w:r>
        <w:rPr>
          <w:rFonts w:ascii="Arial" w:hAnsi="Arial"/>
          <w:b w:val="0"/>
          <w:i/>
          <w:color w:val="222244"/>
          <w:sz w:val="22"/>
        </w:rPr>
        <w:t>The Living Being's Complete Map of Available Review</w:t>
      </w:r>
    </w:p>
    <w:p>
      <w:pPr>
        <w:spacing w:before="0" w:after="160"/>
        <w:jc w:val="center"/>
      </w:pPr>
      <w:r>
        <w:rPr>
          <w:rFonts w:ascii="Arial" w:hAnsi="Arial"/>
          <w:b w:val="0"/>
          <w:i/>
          <w:color w:val="222244"/>
          <w:sz w:val="22"/>
        </w:rPr>
        <w:t>When the Domestic System Has Issued Its Last Word</w:t>
      </w:r>
    </w:p>
    <w:p>
      <w:pPr>
        <w:spacing w:before="80" w:after="120"/>
        <w:jc w:val="center"/>
        <w:pBdr>
          <w:bottom w:val="single" w:sz="10" w:space="1" w:color="1a1a2e"/>
        </w:pBdr>
      </w:pPr>
    </w:p>
    <w:p>
      <w:pPr>
        <w:spacing w:before="120" w:after="120"/>
        <w:ind w:left="504" w:right="504"/>
        <w:jc w:val="both"/>
      </w:pPr>
      <w:r>
        <w:rPr>
          <w:rFonts w:ascii="Arial" w:hAnsi="Arial"/>
          <w:b/>
          <w:i w:val="0"/>
          <w:color w:val="1A003A"/>
          <w:sz w:val="20"/>
        </w:rPr>
        <w:t xml:space="preserve">Genesis 18:25  </w:t>
      </w:r>
      <w:r>
        <w:rPr>
          <w:rFonts w:ascii="Arial" w:hAnsi="Arial"/>
          <w:b w:val="0"/>
          <w:i/>
          <w:color w:val="222244"/>
          <w:sz w:val="21"/>
        </w:rPr>
        <w:t>Shall not the Judge of all the earth do right?</w:t>
      </w:r>
    </w:p>
    <w:p>
      <w:pPr>
        <w:spacing w:before="120" w:after="120"/>
        <w:ind w:left="504" w:right="504"/>
        <w:jc w:val="both"/>
      </w:pPr>
      <w:r>
        <w:rPr>
          <w:rFonts w:ascii="Arial" w:hAnsi="Arial"/>
          <w:b/>
          <w:i w:val="0"/>
          <w:color w:val="1A003A"/>
          <w:sz w:val="20"/>
        </w:rPr>
        <w:t xml:space="preserve">Ecclesiastes 12:14  </w:t>
      </w:r>
      <w:r>
        <w:rPr>
          <w:rFonts w:ascii="Arial" w:hAnsi="Arial"/>
          <w:b w:val="0"/>
          <w:i/>
          <w:color w:val="222244"/>
          <w:sz w:val="21"/>
        </w:rPr>
        <w:t>For God will bring every deed into judgment, with every secret thing, whether good or evil.</w:t>
      </w:r>
    </w:p>
    <w:p>
      <w:pPr>
        <w:spacing w:before="120" w:after="120"/>
        <w:ind w:left="504" w:right="504"/>
        <w:jc w:val="both"/>
      </w:pPr>
      <w:r>
        <w:rPr>
          <w:rFonts w:ascii="Arial" w:hAnsi="Arial"/>
          <w:b/>
          <w:i w:val="0"/>
          <w:color w:val="1A003A"/>
          <w:sz w:val="20"/>
        </w:rPr>
        <w:t xml:space="preserve">Hebrews 4:13  </w:t>
      </w:r>
      <w:r>
        <w:rPr>
          <w:rFonts w:ascii="Arial" w:hAnsi="Arial"/>
          <w:b w:val="0"/>
          <w:i/>
          <w:color w:val="222244"/>
          <w:sz w:val="21"/>
        </w:rPr>
        <w:t>And no creature is hidden from his sight, but all are naked and exposed to the eyes of him to whom we must give account.</w:t>
      </w:r>
    </w:p>
    <w:p>
      <w:pPr>
        <w:spacing w:before="120" w:after="120"/>
        <w:jc w:val="center"/>
        <w:pBdr>
          <w:bottom w:val="single" w:sz="4" w:space="1" w:color="1a1a2e"/>
        </w:pBdr>
      </w:pPr>
    </w:p>
    <w:p>
      <w:pPr>
        <w:spacing w:before="80" w:after="40"/>
        <w:jc w:val="center"/>
      </w:pPr>
      <w:r>
        <w:rPr>
          <w:rFonts w:ascii="Arial" w:hAnsi="Arial"/>
          <w:b/>
          <w:i w:val="0"/>
          <w:color w:val="1A1A2E"/>
          <w:sz w:val="22"/>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Part of the Odyssey-1 System</w:t>
      </w:r>
    </w:p>
    <w:p>
      <w:r>
        <w:br w:type="page"/>
      </w:r>
    </w:p>
    <w:p>
      <w:pPr>
        <w:spacing w:before="0" w:after="120"/>
        <w:jc w:val="center"/>
      </w:pPr>
      <w:r>
        <w:rPr>
          <w:rFonts w:ascii="Arial" w:hAnsi="Arial"/>
          <w:b/>
          <w:i w:val="0"/>
          <w:color w:val="1A1A2E"/>
          <w:sz w:val="22"/>
        </w:rPr>
        <w:t>PREAMBLE</w:t>
      </w:r>
    </w:p>
    <w:p>
      <w:pPr>
        <w:spacing w:before="0" w:after="120"/>
        <w:jc w:val="both"/>
      </w:pPr>
      <w:r>
        <w:rPr>
          <w:rFonts w:ascii="Arial" w:hAnsi="Arial"/>
          <w:b w:val="0"/>
          <w:i w:val="0"/>
          <w:color w:val="000000"/>
          <w:sz w:val="21"/>
        </w:rPr>
        <w:t>Certiorari denied. Two words. No explanation. No acknowledgment of the argument made. No recognition of the rights claimed. The most powerful court in the country exercised its unreviewable, unexplained discretion and decided not to look.</w:t>
      </w:r>
    </w:p>
    <w:p>
      <w:pPr>
        <w:spacing w:before="0" w:after="120"/>
        <w:jc w:val="both"/>
      </w:pPr>
      <w:r>
        <w:rPr>
          <w:rFonts w:ascii="Arial" w:hAnsi="Arial"/>
          <w:b w:val="0"/>
          <w:i w:val="0"/>
          <w:color w:val="000000"/>
          <w:sz w:val="21"/>
        </w:rPr>
        <w:t>For most living beings, those two words feel like the end. The domestic system has spoken. The last door has closed. There is nowhere left to go.</w:t>
      </w:r>
    </w:p>
    <w:p>
      <w:pPr>
        <w:spacing w:before="0" w:after="120"/>
        <w:jc w:val="center"/>
      </w:pPr>
      <w:r>
        <w:rPr>
          <w:rFonts w:ascii="Arial" w:hAnsi="Arial"/>
          <w:b/>
          <w:i w:val="0"/>
          <w:color w:val="1A1A2E"/>
          <w:sz w:val="21"/>
        </w:rPr>
        <w:t>This document exists because that feeling is wrong.</w:t>
      </w:r>
    </w:p>
    <w:p>
      <w:pPr>
        <w:spacing w:before="0" w:after="160"/>
        <w:jc w:val="both"/>
      </w:pPr>
      <w:r>
        <w:rPr>
          <w:rFonts w:ascii="Arial" w:hAnsi="Arial"/>
          <w:b w:val="0"/>
          <w:i w:val="0"/>
          <w:color w:val="000000"/>
          <w:sz w:val="21"/>
        </w:rPr>
        <w:t>The cert denial is the last word in one forum. It is not the last word. The domestic court system is one forum among several available to the living being whose rights have been violated. International human rights bodies, whose jurisdiction is independent of the Supreme Court's discretion, remain available after domestic remedies are exhausted. And the Creator's forum — whose jurisdiction the Declaration of Independence acknowledged as the source of the rights the Supreme Court declined to enforce — holds a court with no cert pool, no procedural default, and no harmless error rule.</w:t>
      </w:r>
    </w:p>
    <w:p>
      <w:pPr>
        <w:spacing w:before="0" w:after="120"/>
        <w:jc w:val="center"/>
      </w:pPr>
      <w:r>
        <w:rPr>
          <w:rFonts w:ascii="Arial" w:hAnsi="Arial"/>
          <w:b w:val="0"/>
          <w:i/>
          <w:color w:val="222244"/>
          <w:sz w:val="21"/>
        </w:rPr>
        <w:t>This document is the complete map. Every forum available. Every deadline that applies. Every procedure required. For the living being who has been told there is nowhere left to go.</w:t>
      </w:r>
    </w:p>
    <w:p>
      <w:r>
        <w:br w:type="page"/>
      </w:r>
    </w:p>
    <w:p>
      <w:pPr>
        <w:spacing w:before="0" w:after="160"/>
        <w:jc w:val="center"/>
      </w:pPr>
      <w:r>
        <w:rPr>
          <w:rFonts w:ascii="Arial" w:hAnsi="Arial"/>
          <w:b/>
          <w:i w:val="0"/>
          <w:color w:val="1A1A2E"/>
          <w:sz w:val="22"/>
        </w:rPr>
        <w:t>TABLE OF CONTENTS</w:t>
      </w:r>
    </w:p>
    <w:p>
      <w:pPr>
        <w:spacing w:before="40" w:after="40"/>
        <w:ind w:left="288"/>
        <w:jc w:val="left"/>
      </w:pPr>
      <w:r>
        <w:rPr>
          <w:rFonts w:ascii="Arial" w:hAnsi="Arial"/>
          <w:b w:val="0"/>
          <w:i w:val="0"/>
          <w:color w:val="000000"/>
          <w:sz w:val="21"/>
        </w:rPr>
        <w:t>Preamble: The Cert Denial Is Not the End</w:t>
      </w:r>
    </w:p>
    <w:p>
      <w:pPr>
        <w:spacing w:before="40" w:after="40"/>
        <w:ind w:left="288"/>
        <w:jc w:val="left"/>
      </w:pPr>
      <w:r>
        <w:rPr>
          <w:rFonts w:ascii="Arial" w:hAnsi="Arial"/>
          <w:b w:val="0"/>
          <w:i w:val="0"/>
          <w:color w:val="000000"/>
          <w:sz w:val="21"/>
        </w:rPr>
        <w:t>Forum One: The Inter-American Commission on Human Rights</w:t>
      </w:r>
    </w:p>
    <w:p>
      <w:pPr>
        <w:spacing w:before="40" w:after="40"/>
        <w:ind w:left="288"/>
        <w:jc w:val="left"/>
      </w:pPr>
      <w:r>
        <w:rPr>
          <w:rFonts w:ascii="Arial" w:hAnsi="Arial"/>
          <w:b w:val="0"/>
          <w:i w:val="0"/>
          <w:color w:val="000000"/>
          <w:sz w:val="21"/>
        </w:rPr>
        <w:t>Forum Two: The UN Human Rights Committee</w:t>
      </w:r>
    </w:p>
    <w:p>
      <w:pPr>
        <w:spacing w:before="40" w:after="40"/>
        <w:ind w:left="288"/>
        <w:jc w:val="left"/>
      </w:pPr>
      <w:r>
        <w:rPr>
          <w:rFonts w:ascii="Arial" w:hAnsi="Arial"/>
          <w:b w:val="0"/>
          <w:i w:val="0"/>
          <w:color w:val="000000"/>
          <w:sz w:val="21"/>
        </w:rPr>
        <w:t>Forum Three: UN Special Rapporteurs</w:t>
      </w:r>
    </w:p>
    <w:p>
      <w:pPr>
        <w:spacing w:before="40" w:after="40"/>
        <w:ind w:left="288"/>
        <w:jc w:val="left"/>
      </w:pPr>
      <w:r>
        <w:rPr>
          <w:rFonts w:ascii="Arial" w:hAnsi="Arial"/>
          <w:b w:val="0"/>
          <w:i w:val="0"/>
          <w:color w:val="000000"/>
          <w:sz w:val="21"/>
        </w:rPr>
        <w:t>Forum Four: The UN Working Group of Experts on People of African Descent</w:t>
      </w:r>
    </w:p>
    <w:p>
      <w:pPr>
        <w:spacing w:before="40" w:after="40"/>
        <w:ind w:left="288"/>
        <w:jc w:val="left"/>
      </w:pPr>
      <w:r>
        <w:rPr>
          <w:rFonts w:ascii="Arial" w:hAnsi="Arial"/>
          <w:b w:val="0"/>
          <w:i w:val="0"/>
          <w:color w:val="000000"/>
          <w:sz w:val="21"/>
        </w:rPr>
        <w:t>Forum Five: The UN Committee on the Elimination of Racial Discrimination</w:t>
      </w:r>
    </w:p>
    <w:p>
      <w:pPr>
        <w:spacing w:before="40" w:after="40"/>
        <w:ind w:left="288"/>
        <w:jc w:val="left"/>
      </w:pPr>
      <w:r>
        <w:rPr>
          <w:rFonts w:ascii="Arial" w:hAnsi="Arial"/>
          <w:b w:val="0"/>
          <w:i w:val="0"/>
          <w:color w:val="000000"/>
          <w:sz w:val="21"/>
        </w:rPr>
        <w:t>Forum Six: The Amendment Record of History</w:t>
      </w:r>
    </w:p>
    <w:p>
      <w:pPr>
        <w:spacing w:before="40" w:after="40"/>
        <w:ind w:left="288"/>
        <w:jc w:val="left"/>
      </w:pPr>
      <w:r>
        <w:rPr>
          <w:rFonts w:ascii="Arial" w:hAnsi="Arial"/>
          <w:b w:val="0"/>
          <w:i w:val="0"/>
          <w:color w:val="000000"/>
          <w:sz w:val="21"/>
        </w:rPr>
        <w:t>Forum Seven: The Creator's Court</w:t>
      </w:r>
    </w:p>
    <w:p>
      <w:pPr>
        <w:spacing w:before="40" w:after="40"/>
        <w:ind w:left="288"/>
        <w:jc w:val="left"/>
      </w:pPr>
      <w:r>
        <w:rPr>
          <w:rFonts w:ascii="Arial" w:hAnsi="Arial"/>
          <w:b w:val="0"/>
          <w:i w:val="0"/>
          <w:color w:val="000000"/>
          <w:sz w:val="21"/>
        </w:rPr>
        <w:t>The Living Being's Timeline After Domestic Exhaustion</w:t>
      </w:r>
    </w:p>
    <w:p>
      <w:pPr>
        <w:spacing w:before="40" w:after="40"/>
        <w:ind w:left="288"/>
        <w:jc w:val="left"/>
      </w:pPr>
      <w:r>
        <w:rPr>
          <w:rFonts w:ascii="Arial" w:hAnsi="Arial"/>
          <w:b w:val="0"/>
          <w:i w:val="0"/>
          <w:color w:val="000000"/>
          <w:sz w:val="21"/>
        </w:rPr>
        <w:t>Table of Authorities</w:t>
      </w:r>
    </w:p>
    <w:p>
      <w:r>
        <w:br w:type="page"/>
      </w:r>
    </w:p>
    <w:p>
      <w:pPr>
        <w:spacing w:before="320" w:after="80"/>
        <w:jc w:val="left"/>
        <w:pBdr>
          <w:bottom w:val="single" w:sz="5" w:space="1" w:color="1a1a2e"/>
        </w:pBdr>
      </w:pPr>
      <w:r>
        <w:rPr>
          <w:rFonts w:ascii="Arial" w:hAnsi="Arial"/>
          <w:b/>
          <w:i w:val="0"/>
          <w:color w:val="1A1A2E"/>
          <w:sz w:val="24"/>
        </w:rPr>
        <w:t>FORUM ONE: THE INTER-AMERICAN COMMISSION ON HUMAN RIGHTS</w:t>
      </w:r>
    </w:p>
    <w:p>
      <w:pPr>
        <w:spacing w:before="200" w:after="60"/>
        <w:jc w:val="left"/>
      </w:pPr>
      <w:r>
        <w:rPr>
          <w:rFonts w:ascii="Arial" w:hAnsi="Arial"/>
          <w:b/>
          <w:i w:val="0"/>
          <w:color w:val="222244"/>
          <w:sz w:val="22"/>
        </w:rPr>
        <w:t>The Most Accessible International Forum</w:t>
      </w:r>
    </w:p>
    <w:p>
      <w:pPr>
        <w:spacing w:before="0" w:after="120"/>
        <w:jc w:val="both"/>
      </w:pPr>
      <w:r>
        <w:rPr>
          <w:rFonts w:ascii="Arial" w:hAnsi="Arial"/>
          <w:b w:val="0"/>
          <w:i w:val="0"/>
          <w:color w:val="000000"/>
          <w:sz w:val="21"/>
        </w:rPr>
        <w:t>The Inter-American Commission on Human Rights is an organ of the Organization of American States. It accepts individual petitions from persons whose rights under the American Convention on Human Rights or the American Declaration of the Rights and Duties of Man have been violated by a member state — including the United States.</w:t>
      </w:r>
    </w:p>
    <w:p>
      <w:pPr>
        <w:spacing w:before="200" w:after="60"/>
        <w:jc w:val="left"/>
      </w:pPr>
      <w:r>
        <w:rPr>
          <w:rFonts w:ascii="Arial" w:hAnsi="Arial"/>
          <w:b/>
          <w:i w:val="0"/>
          <w:color w:val="222244"/>
          <w:sz w:val="22"/>
        </w:rPr>
        <w:t>Who Can File</w:t>
      </w:r>
    </w:p>
    <w:p>
      <w:pPr>
        <w:spacing w:before="0" w:after="120"/>
        <w:jc w:val="both"/>
      </w:pPr>
      <w:r>
        <w:rPr>
          <w:rFonts w:ascii="Arial" w:hAnsi="Arial"/>
          <w:b w:val="0"/>
          <w:i w:val="0"/>
          <w:color w:val="000000"/>
          <w:sz w:val="21"/>
        </w:rPr>
        <w:t>Any person, group of persons, or nongovernmental organization legally recognized in one or more member states may file a petition with the IACHR. You do not need an attorney. You do not need institutional affiliation. You need to be a living being whose rights were violated by the United States government and who has exhausted available domestic remedies.</w:t>
      </w:r>
    </w:p>
    <w:p>
      <w:pPr>
        <w:spacing w:before="200" w:after="60"/>
        <w:jc w:val="left"/>
      </w:pPr>
      <w:r>
        <w:rPr>
          <w:rFonts w:ascii="Arial" w:hAnsi="Arial"/>
          <w:b/>
          <w:i w:val="0"/>
          <w:color w:val="222244"/>
          <w:sz w:val="22"/>
        </w:rPr>
        <w:t>What the IACHR Can Review</w:t>
      </w:r>
    </w:p>
    <w:p>
      <w:pPr>
        <w:spacing w:before="0" w:after="120"/>
        <w:jc w:val="both"/>
      </w:pPr>
      <w:r>
        <w:rPr>
          <w:rFonts w:ascii="Arial" w:hAnsi="Arial"/>
          <w:b w:val="0"/>
          <w:i w:val="0"/>
          <w:color w:val="000000"/>
          <w:sz w:val="21"/>
        </w:rPr>
        <w:t>The IACHR is not bound by the Supreme Court's procedural default doctrine. It is not bound by the harmless error rule. It is not bound by qualified immunity. It evaluates whether the living being's human rights were violated — period. The procedural barriers the domestic system used to prevent review of the violation do not follow the petition to the IACHR.</w:t>
      </w:r>
    </w:p>
    <w:p>
      <w:pPr>
        <w:spacing w:before="200" w:after="60"/>
        <w:jc w:val="left"/>
      </w:pPr>
      <w:r>
        <w:rPr>
          <w:rFonts w:ascii="Arial" w:hAnsi="Arial"/>
          <w:b/>
          <w:i w:val="0"/>
          <w:color w:val="222244"/>
          <w:sz w:val="22"/>
        </w:rPr>
        <w:t>The Deadline — Critical</w:t>
      </w:r>
    </w:p>
    <w:p>
      <w:pPr>
        <w:spacing w:before="0" w:after="120"/>
        <w:jc w:val="both"/>
      </w:pPr>
      <w:r>
        <w:rPr>
          <w:rFonts w:ascii="Arial" w:hAnsi="Arial"/>
          <w:b/>
          <w:i w:val="0"/>
          <w:color w:val="6B0020"/>
          <w:sz w:val="21"/>
        </w:rPr>
        <w:t>A petition must be filed within six months of the final domestic decision. For Supreme Court cert denials, the clock starts running on the date of the cert denial. Six months. This is not extendable. Missing it forecloses the IACHR forum.</w:t>
      </w:r>
    </w:p>
    <w:p>
      <w:pPr>
        <w:spacing w:before="200" w:after="60"/>
        <w:jc w:val="left"/>
      </w:pPr>
      <w:r>
        <w:rPr>
          <w:rFonts w:ascii="Arial" w:hAnsi="Arial"/>
          <w:b/>
          <w:i w:val="0"/>
          <w:color w:val="222244"/>
          <w:sz w:val="22"/>
        </w:rPr>
        <w:t>What to Include in the Petition</w:t>
      </w:r>
    </w:p>
    <w:p>
      <w:pPr>
        <w:pStyle w:val="ListBullet"/>
        <w:spacing w:after="60"/>
        <w:ind w:left="576"/>
      </w:pPr>
      <w:r>
        <w:rPr>
          <w:rFonts w:ascii="Arial" w:hAnsi="Arial"/>
          <w:sz w:val="21"/>
        </w:rPr>
        <w:t>Full identification of the petitioner and the alleged victim</w:t>
      </w:r>
    </w:p>
    <w:p>
      <w:pPr>
        <w:pStyle w:val="ListBullet"/>
        <w:spacing w:after="60"/>
        <w:ind w:left="576"/>
      </w:pPr>
      <w:r>
        <w:rPr>
          <w:rFonts w:ascii="Arial" w:hAnsi="Arial"/>
          <w:sz w:val="21"/>
        </w:rPr>
        <w:t>Description of the facts — what happened, when, where, and who was responsible</w:t>
      </w:r>
    </w:p>
    <w:p>
      <w:pPr>
        <w:pStyle w:val="ListBullet"/>
        <w:spacing w:after="60"/>
        <w:ind w:left="576"/>
      </w:pPr>
      <w:r>
        <w:rPr>
          <w:rFonts w:ascii="Arial" w:hAnsi="Arial"/>
          <w:sz w:val="21"/>
        </w:rPr>
        <w:t>The rights violated — identified by reference to the American Convention or American Declaration provisions</w:t>
      </w:r>
    </w:p>
    <w:p>
      <w:pPr>
        <w:pStyle w:val="ListBullet"/>
        <w:spacing w:after="60"/>
        <w:ind w:left="576"/>
      </w:pPr>
      <w:r>
        <w:rPr>
          <w:rFonts w:ascii="Arial" w:hAnsi="Arial"/>
          <w:sz w:val="21"/>
        </w:rPr>
        <w:t>The domestic remedies pursued — every court, every filing, every denial</w:t>
      </w:r>
    </w:p>
    <w:p>
      <w:pPr>
        <w:pStyle w:val="ListBullet"/>
        <w:spacing w:after="60"/>
        <w:ind w:left="576"/>
      </w:pPr>
      <w:r>
        <w:rPr>
          <w:rFonts w:ascii="Arial" w:hAnsi="Arial"/>
          <w:sz w:val="21"/>
        </w:rPr>
        <w:t>Evidence that domestic remedies have been exhausted or are unavailable</w:t>
      </w:r>
    </w:p>
    <w:p>
      <w:pPr>
        <w:pStyle w:val="ListBullet"/>
        <w:spacing w:after="60"/>
        <w:ind w:left="576"/>
      </w:pPr>
      <w:r>
        <w:rPr>
          <w:rFonts w:ascii="Arial" w:hAnsi="Arial"/>
          <w:sz w:val="21"/>
        </w:rPr>
        <w:t>The specific relief requested — investigation, finding of violation, recommendation for remedy</w:t>
      </w:r>
    </w:p>
    <w:p>
      <w:pPr>
        <w:spacing w:before="120" w:after="120"/>
        <w:jc w:val="both"/>
      </w:pPr>
      <w:r>
        <w:rPr>
          <w:rFonts w:ascii="Arial" w:hAnsi="Arial"/>
          <w:b w:val="0"/>
          <w:i w:val="0"/>
          <w:color w:val="000000"/>
          <w:sz w:val="21"/>
        </w:rPr>
        <w:t>The IACHR petition process is one of the most powerful tools available to the living being after domestic exhaustion. The United States participates in the OAS system. IACHR findings against the United States are public, reported to Congress, and create international accountability that the domestic cert denial does not.</w:t>
      </w:r>
    </w:p>
    <w:p>
      <w:pPr>
        <w:spacing w:before="120" w:after="120"/>
        <w:ind w:left="288" w:right="288"/>
        <w:jc w:val="both"/>
      </w:pPr>
      <w:r>
        <w:rPr>
          <w:rFonts w:ascii="Arial" w:hAnsi="Arial"/>
          <w:b/>
          <w:i w:val="0"/>
          <w:color w:val="6B0020"/>
          <w:sz w:val="21"/>
        </w:rPr>
        <w:t xml:space="preserve">FINDING: </w:t>
      </w:r>
      <w:r>
        <w:rPr>
          <w:rFonts w:ascii="Arial" w:hAnsi="Arial"/>
          <w:b w:val="0"/>
          <w:i w:val="0"/>
          <w:color w:val="000000"/>
          <w:sz w:val="21"/>
        </w:rPr>
        <w:t>The IACHR has documented systematic human rights violations against African Americans and indigenous peoples in the United States across multiple reports. The living being who files a well-documented petition is not making a novel claim — they are adding their specific documented experience to a pattern the IACHR already recognizes.</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FORUM TWO: THE UN HUMAN RIGHTS COMMITTEE</w:t>
      </w:r>
    </w:p>
    <w:p>
      <w:pPr>
        <w:spacing w:before="200" w:after="60"/>
        <w:jc w:val="left"/>
      </w:pPr>
      <w:r>
        <w:rPr>
          <w:rFonts w:ascii="Arial" w:hAnsi="Arial"/>
          <w:b/>
          <w:i w:val="0"/>
          <w:color w:val="222244"/>
          <w:sz w:val="22"/>
        </w:rPr>
        <w:t>Individual Communications Under the ICCPR Optional Protocol</w:t>
      </w:r>
    </w:p>
    <w:p>
      <w:pPr>
        <w:spacing w:before="0" w:after="120"/>
        <w:jc w:val="both"/>
      </w:pPr>
      <w:r>
        <w:rPr>
          <w:rFonts w:ascii="Arial" w:hAnsi="Arial"/>
          <w:b w:val="0"/>
          <w:i w:val="0"/>
          <w:color w:val="000000"/>
          <w:sz w:val="21"/>
        </w:rPr>
        <w:t>The United Nations Human Rights Committee monitors compliance with the International Covenant on Civil and Political Rights. Under the Optional Protocol to the ICCPR, the Committee accepts individual communications from persons who claim their ICCPR rights have been violated by a state party. The United States has ratified the ICCPR.</w:t>
      </w:r>
    </w:p>
    <w:p>
      <w:pPr>
        <w:spacing w:before="200" w:after="60"/>
        <w:jc w:val="left"/>
      </w:pPr>
      <w:r>
        <w:rPr>
          <w:rFonts w:ascii="Arial" w:hAnsi="Arial"/>
          <w:b/>
          <w:i w:val="0"/>
          <w:color w:val="222244"/>
          <w:sz w:val="22"/>
        </w:rPr>
        <w:t>The Deadline</w:t>
      </w:r>
    </w:p>
    <w:p>
      <w:pPr>
        <w:spacing w:before="0" w:after="120"/>
        <w:jc w:val="both"/>
      </w:pPr>
      <w:r>
        <w:rPr>
          <w:rFonts w:ascii="Arial" w:hAnsi="Arial"/>
          <w:b w:val="0"/>
          <w:i w:val="0"/>
          <w:color w:val="000000"/>
          <w:sz w:val="21"/>
        </w:rPr>
        <w:t>Communications should be submitted as soon as possible after domestic remedies are exhausted. There is no strict six-month deadline as under the IACHR rules, but unreasonable delay can affect admissibility. File promptly.</w:t>
      </w:r>
    </w:p>
    <w:p>
      <w:pPr>
        <w:spacing w:before="200" w:after="60"/>
        <w:jc w:val="left"/>
      </w:pPr>
      <w:r>
        <w:rPr>
          <w:rFonts w:ascii="Arial" w:hAnsi="Arial"/>
          <w:b/>
          <w:i w:val="0"/>
          <w:color w:val="222244"/>
          <w:sz w:val="22"/>
        </w:rPr>
        <w:t>ICCPR Rights Most Relevant to the Living Being</w:t>
      </w:r>
    </w:p>
    <w:p>
      <w:pPr>
        <w:pStyle w:val="ListBullet"/>
        <w:spacing w:after="60"/>
        <w:ind w:left="576"/>
      </w:pPr>
      <w:r>
        <w:rPr>
          <w:rFonts w:ascii="Arial" w:hAnsi="Arial"/>
          <w:sz w:val="21"/>
        </w:rPr>
        <w:t>Article 2: right to effective remedy for rights violations</w:t>
      </w:r>
    </w:p>
    <w:p>
      <w:pPr>
        <w:pStyle w:val="ListBullet"/>
        <w:spacing w:after="60"/>
        <w:ind w:left="576"/>
      </w:pPr>
      <w:r>
        <w:rPr>
          <w:rFonts w:ascii="Arial" w:hAnsi="Arial"/>
          <w:sz w:val="21"/>
        </w:rPr>
        <w:t>Article 6: right to life — relevant to excessive force claims</w:t>
      </w:r>
    </w:p>
    <w:p>
      <w:pPr>
        <w:pStyle w:val="ListBullet"/>
        <w:spacing w:after="60"/>
        <w:ind w:left="576"/>
      </w:pPr>
      <w:r>
        <w:rPr>
          <w:rFonts w:ascii="Arial" w:hAnsi="Arial"/>
          <w:sz w:val="21"/>
        </w:rPr>
        <w:t>Article 7: prohibition on cruel, inhuman, or degrading treatment</w:t>
      </w:r>
    </w:p>
    <w:p>
      <w:pPr>
        <w:pStyle w:val="ListBullet"/>
        <w:spacing w:after="60"/>
        <w:ind w:left="576"/>
      </w:pPr>
      <w:r>
        <w:rPr>
          <w:rFonts w:ascii="Arial" w:hAnsi="Arial"/>
          <w:sz w:val="21"/>
        </w:rPr>
        <w:t>Article 9: right to liberty and security — unlawful detention</w:t>
      </w:r>
    </w:p>
    <w:p>
      <w:pPr>
        <w:pStyle w:val="ListBullet"/>
        <w:spacing w:after="60"/>
        <w:ind w:left="576"/>
      </w:pPr>
      <w:r>
        <w:rPr>
          <w:rFonts w:ascii="Arial" w:hAnsi="Arial"/>
          <w:sz w:val="21"/>
        </w:rPr>
        <w:t>Article 14: right to fair trial and effective appeal</w:t>
      </w:r>
    </w:p>
    <w:p>
      <w:pPr>
        <w:pStyle w:val="ListBullet"/>
        <w:spacing w:after="60"/>
        <w:ind w:left="576"/>
      </w:pPr>
      <w:r>
        <w:rPr>
          <w:rFonts w:ascii="Arial" w:hAnsi="Arial"/>
          <w:sz w:val="21"/>
        </w:rPr>
        <w:t>Article 17: protection against arbitrary interference with privacy</w:t>
      </w:r>
    </w:p>
    <w:p>
      <w:pPr>
        <w:pStyle w:val="ListBullet"/>
        <w:spacing w:after="60"/>
        <w:ind w:left="576"/>
      </w:pPr>
      <w:r>
        <w:rPr>
          <w:rFonts w:ascii="Arial" w:hAnsi="Arial"/>
          <w:sz w:val="21"/>
        </w:rPr>
        <w:t>Article 26: equal and effective protection against discrimination</w:t>
      </w:r>
    </w:p>
    <w:p>
      <w:pPr>
        <w:pStyle w:val="ListBullet"/>
        <w:spacing w:after="60"/>
        <w:ind w:left="576"/>
      </w:pPr>
      <w:r>
        <w:rPr>
          <w:rFonts w:ascii="Arial" w:hAnsi="Arial"/>
          <w:sz w:val="21"/>
        </w:rPr>
        <w:t>Article 27: right to enjoy one's own culture — indigenous and African ancestral cultural rights</w:t>
      </w:r>
    </w:p>
    <w:p>
      <w:pPr>
        <w:spacing w:before="120" w:after="120"/>
        <w:jc w:val="both"/>
      </w:pPr>
      <w:r>
        <w:rPr>
          <w:rFonts w:ascii="Arial" w:hAnsi="Arial"/>
          <w:b w:val="0"/>
          <w:i w:val="0"/>
          <w:color w:val="000000"/>
          <w:sz w:val="21"/>
        </w:rPr>
        <w:t>The Human Rights Committee's views on individual communications are not legally binding in the same way as domestic court judgments. But they are authoritative interpretations of international human rights law, published in the Committee's annual report to the UN General Assembly, and cited by courts and human rights bodies worldwide. A favorable Committee view creates international accountability and strengthens subsequent domestic claims.</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FORUM THREE: UN SPECIAL RAPPORTEURS</w:t>
      </w:r>
    </w:p>
    <w:p>
      <w:pPr>
        <w:spacing w:before="200" w:after="60"/>
        <w:jc w:val="left"/>
      </w:pPr>
      <w:r>
        <w:rPr>
          <w:rFonts w:ascii="Arial" w:hAnsi="Arial"/>
          <w:b/>
          <w:i w:val="0"/>
          <w:color w:val="222244"/>
          <w:sz w:val="22"/>
        </w:rPr>
        <w:t>Communications to Independent UN Experts</w:t>
      </w:r>
    </w:p>
    <w:p>
      <w:pPr>
        <w:spacing w:before="0" w:after="120"/>
        <w:jc w:val="both"/>
      </w:pPr>
      <w:r>
        <w:rPr>
          <w:rFonts w:ascii="Arial" w:hAnsi="Arial"/>
          <w:b w:val="0"/>
          <w:i w:val="0"/>
          <w:color w:val="000000"/>
          <w:sz w:val="21"/>
        </w:rPr>
        <w:t>The United Nations Human Rights Council appoints Special Rapporteurs as independent experts to investigate and report on specific human rights issues worldwide. Special Rapporteurs accept individual communications about alleged violations within their mandate. They can send urgent appeals to governments and include cases in their annual reports to the Human Rights Council.</w:t>
      </w:r>
    </w:p>
    <w:p>
      <w:pPr>
        <w:spacing w:before="200" w:after="60"/>
        <w:jc w:val="left"/>
      </w:pPr>
      <w:r>
        <w:rPr>
          <w:rFonts w:ascii="Arial" w:hAnsi="Arial"/>
          <w:b/>
          <w:i w:val="0"/>
          <w:color w:val="222244"/>
          <w:sz w:val="22"/>
        </w:rPr>
        <w:t>Special Rapporteurs Most Relevant to the Living Being's Claims</w:t>
      </w:r>
    </w:p>
    <w:p>
      <w:pPr>
        <w:pStyle w:val="ListBullet"/>
        <w:spacing w:after="60"/>
        <w:ind w:left="576"/>
      </w:pPr>
      <w:r>
        <w:rPr>
          <w:rFonts w:ascii="Arial" w:hAnsi="Arial"/>
          <w:sz w:val="21"/>
        </w:rPr>
        <w:t>Special Rapporteur on Contemporary Forms of Racism, Racial Discrimination, Xenophobia and Related Intolerance — for racial discrimination, discriminatory enforcement, and the ongoing badges and incidents of slavery</w:t>
      </w:r>
    </w:p>
    <w:p>
      <w:pPr>
        <w:pStyle w:val="ListBullet"/>
        <w:spacing w:after="60"/>
        <w:ind w:left="576"/>
      </w:pPr>
      <w:r>
        <w:rPr>
          <w:rFonts w:ascii="Arial" w:hAnsi="Arial"/>
          <w:sz w:val="21"/>
        </w:rPr>
        <w:t>Special Rapporteur on the Rights of Indigenous Peoples — for Creek dispossession, ancestral land claims, and cultural rights violations</w:t>
      </w:r>
    </w:p>
    <w:p>
      <w:pPr>
        <w:pStyle w:val="ListBullet"/>
        <w:spacing w:after="60"/>
        <w:ind w:left="576"/>
      </w:pPr>
      <w:r>
        <w:rPr>
          <w:rFonts w:ascii="Arial" w:hAnsi="Arial"/>
          <w:sz w:val="21"/>
        </w:rPr>
        <w:t>Special Rapporteur on Adequate Housing — for redlining, discriminatory appraisal, and housing discrimination claims</w:t>
      </w:r>
    </w:p>
    <w:p>
      <w:pPr>
        <w:pStyle w:val="ListBullet"/>
        <w:spacing w:after="60"/>
        <w:ind w:left="576"/>
      </w:pPr>
      <w:r>
        <w:rPr>
          <w:rFonts w:ascii="Arial" w:hAnsi="Arial"/>
          <w:sz w:val="21"/>
        </w:rPr>
        <w:t>Special Rapporteur on the Promotion and Protection of Human Rights While Countering Terrorism — for overreach of law enforcement powers</w:t>
      </w:r>
    </w:p>
    <w:p>
      <w:pPr>
        <w:pStyle w:val="ListBullet"/>
        <w:spacing w:after="60"/>
        <w:ind w:left="576"/>
      </w:pPr>
      <w:r>
        <w:rPr>
          <w:rFonts w:ascii="Arial" w:hAnsi="Arial"/>
          <w:sz w:val="21"/>
        </w:rPr>
        <w:t>Special Rapporteur on Torture and Other Cruel, Inhuman or Degrading Treatment or Punishment — for excessive force claims</w:t>
      </w:r>
    </w:p>
    <w:p>
      <w:pPr>
        <w:pStyle w:val="ListBullet"/>
        <w:spacing w:after="60"/>
        <w:ind w:left="576"/>
      </w:pPr>
      <w:r>
        <w:rPr>
          <w:rFonts w:ascii="Arial" w:hAnsi="Arial"/>
          <w:sz w:val="21"/>
        </w:rPr>
        <w:t>Special Rapporteur on the Independence of Judges and Lawyers — for the commercial tribunal and impartiality violations documented in the Founding Crime Treatise</w:t>
      </w:r>
    </w:p>
    <w:p>
      <w:pPr>
        <w:spacing w:before="120" w:after="120"/>
        <w:jc w:val="both"/>
      </w:pPr>
      <w:r>
        <w:rPr>
          <w:rFonts w:ascii="Arial" w:hAnsi="Arial"/>
          <w:b w:val="0"/>
          <w:i w:val="0"/>
          <w:color w:val="000000"/>
          <w:sz w:val="21"/>
        </w:rPr>
        <w:t>There is no strict deadline for Special Rapporteur communications. File when the violation is documented and the domestic process has been completed or is demonstrably inadequate.</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FORUM FOUR: UN WORKING GROUP OF EXPERTS ON PEOPLE OF AFRICAN DESCENT</w:t>
      </w:r>
    </w:p>
    <w:p>
      <w:pPr>
        <w:spacing w:before="0" w:after="120"/>
        <w:jc w:val="both"/>
      </w:pPr>
      <w:r>
        <w:rPr>
          <w:rFonts w:ascii="Arial" w:hAnsi="Arial"/>
          <w:b w:val="0"/>
          <w:i w:val="0"/>
          <w:color w:val="000000"/>
          <w:sz w:val="21"/>
        </w:rPr>
        <w:t>The UN Working Group of Experts on People of African Descent was established by the Human Rights Council to study the problems of racial discrimination faced by people of African descent and to propose measures to eliminate racial discrimination. The Working Group has conducted country visits to the United States and produced comprehensive reports documenting systematic violations against African Americans including mass incarceration, police violence, health disparities, and the ongoing economic legacy of slavery.</w:t>
      </w:r>
    </w:p>
    <w:p>
      <w:pPr>
        <w:spacing w:before="0" w:after="120"/>
        <w:jc w:val="both"/>
      </w:pPr>
      <w:r>
        <w:rPr>
          <w:rFonts w:ascii="Arial" w:hAnsi="Arial"/>
          <w:b w:val="0"/>
          <w:i w:val="0"/>
          <w:color w:val="000000"/>
          <w:sz w:val="21"/>
        </w:rPr>
        <w:t>The Working Group accepts individual communications and considers them in the context of its broader country monitoring. Its 2016 report on the United States — A/HRC/33/61 — is the most comprehensive international human rights assessment of the condition of African Americans ever produced by a UN body. Filing a communication with the Working Group adds the living being's specific documented experience to the pattern the Working Group has already formally recognized.</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FORUM FIVE: THE COMMITTEE ON THE ELIMINATION OF RACIAL DISCRIMINATION</w:t>
      </w:r>
    </w:p>
    <w:p>
      <w:pPr>
        <w:spacing w:before="0" w:after="120"/>
        <w:jc w:val="both"/>
      </w:pPr>
      <w:r>
        <w:rPr>
          <w:rFonts w:ascii="Arial" w:hAnsi="Arial"/>
          <w:b w:val="0"/>
          <w:i w:val="0"/>
          <w:color w:val="000000"/>
          <w:sz w:val="21"/>
        </w:rPr>
        <w:t>The Committee on the Elimination of Racial Discrimination monitors implementation of the International Convention on the Elimination of All Forms of Racial Discrimination. The United States has ratified ICERD. The Committee reviews state party reports and issues concluding observations. It also accepts inter-state communications and, under Article 14, individual communications from persons claiming ICERD rights violations.</w:t>
      </w:r>
    </w:p>
    <w:p>
      <w:pPr>
        <w:spacing w:before="0" w:after="120"/>
        <w:jc w:val="both"/>
      </w:pPr>
      <w:r>
        <w:rPr>
          <w:rFonts w:ascii="Arial" w:hAnsi="Arial"/>
          <w:b w:val="0"/>
          <w:i w:val="0"/>
          <w:color w:val="000000"/>
          <w:sz w:val="21"/>
        </w:rPr>
        <w:t>ICERD's definition of racial discrimination — any distinction, exclusion, restriction, or preference based on race that has the purpose or effect of impairing the enjoyment of rights — is an effect-based standard that does not require proof of discriminatory intent. This is the standard the domestic system's Washington v. Davis intent requirement prevents domestic courts from applying. The CERD provides the effect-based forum the domestic system deliberately closed.</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FORUM SIX: THE AMENDMENT RECORD OF HISTORY</w:t>
      </w:r>
    </w:p>
    <w:p>
      <w:pPr>
        <w:spacing w:before="200" w:after="60"/>
        <w:jc w:val="left"/>
      </w:pPr>
      <w:r>
        <w:rPr>
          <w:rFonts w:ascii="Arial" w:hAnsi="Arial"/>
          <w:b/>
          <w:i w:val="0"/>
          <w:color w:val="222244"/>
          <w:sz w:val="22"/>
        </w:rPr>
        <w:t>Every Wrong the Supreme Court Called Final Was Eventually Overruled</w:t>
      </w:r>
    </w:p>
    <w:p>
      <w:pPr>
        <w:spacing w:before="0" w:after="120"/>
        <w:jc w:val="both"/>
      </w:pPr>
      <w:r>
        <w:rPr>
          <w:rFonts w:ascii="Arial" w:hAnsi="Arial"/>
          <w:b w:val="0"/>
          <w:i w:val="0"/>
          <w:color w:val="000000"/>
          <w:sz w:val="21"/>
        </w:rPr>
        <w:t>The domestic system's last word has never been the last word in history. The Supreme Court's most consequential decisions — the ones that the enterprise most needed to be final — were eventually overruled because the truth they denied kept pressing until the system could no longer hold it back.</w:t>
      </w:r>
    </w:p>
    <w:p>
      <w:pPr>
        <w:spacing w:before="160" w:after="40"/>
        <w:jc w:val="both"/>
      </w:pPr>
      <w:r>
        <w:rPr>
          <w:rFonts w:ascii="Arial" w:hAnsi="Arial"/>
          <w:b/>
          <w:i w:val="0"/>
          <w:color w:val="1A1A2E"/>
          <w:sz w:val="22"/>
        </w:rPr>
        <w:t>Dred Scott v. Sandford</w:t>
      </w:r>
      <w:r>
        <w:rPr>
          <w:rFonts w:ascii="Arial" w:hAnsi="Arial"/>
          <w:b w:val="0"/>
          <w:i/>
          <w:color w:val="555577"/>
          <w:sz w:val="20"/>
        </w:rPr>
        <w:t xml:space="preserve">  (1857 — overruled 1868 (13th and 14th Amendments))</w:t>
      </w:r>
    </w:p>
    <w:p>
      <w:pPr>
        <w:spacing w:before="0" w:after="40"/>
        <w:ind w:left="360"/>
        <w:jc w:val="both"/>
      </w:pPr>
      <w:r>
        <w:rPr>
          <w:rFonts w:ascii="Arial" w:hAnsi="Arial"/>
          <w:b w:val="0"/>
          <w:i/>
          <w:color w:val="5A0000"/>
          <w:sz w:val="20"/>
        </w:rPr>
        <w:t>Holding: Black persons cannot be citizens. Their claims need not be heard.</w:t>
      </w:r>
    </w:p>
    <w:p>
      <w:pPr>
        <w:spacing w:before="0" w:after="120"/>
        <w:ind w:left="360"/>
        <w:jc w:val="both"/>
      </w:pPr>
      <w:r>
        <w:rPr>
          <w:rFonts w:ascii="Arial" w:hAnsi="Arial"/>
          <w:b w:val="0"/>
          <w:i w:val="0"/>
          <w:color w:val="000000"/>
          <w:sz w:val="21"/>
        </w:rPr>
        <w:t>The Constitution was amended to make the decision's premise impossible. The truth that Black persons are full human beings with full rights pressed against the decision for eleven years until the Civil War forced the correction.</w:t>
      </w:r>
    </w:p>
    <w:p>
      <w:pPr>
        <w:spacing w:before="160" w:after="40"/>
        <w:jc w:val="both"/>
      </w:pPr>
      <w:r>
        <w:rPr>
          <w:rFonts w:ascii="Arial" w:hAnsi="Arial"/>
          <w:b/>
          <w:i w:val="0"/>
          <w:color w:val="1A1A2E"/>
          <w:sz w:val="22"/>
        </w:rPr>
        <w:t>Plessy v. Ferguson</w:t>
      </w:r>
      <w:r>
        <w:rPr>
          <w:rFonts w:ascii="Arial" w:hAnsi="Arial"/>
          <w:b w:val="0"/>
          <w:i/>
          <w:color w:val="555577"/>
          <w:sz w:val="20"/>
        </w:rPr>
        <w:t xml:space="preserve">  (1896 — overruled 1954 (Brown v. Board of Education))</w:t>
      </w:r>
    </w:p>
    <w:p>
      <w:pPr>
        <w:spacing w:before="0" w:after="40"/>
        <w:ind w:left="360"/>
        <w:jc w:val="both"/>
      </w:pPr>
      <w:r>
        <w:rPr>
          <w:rFonts w:ascii="Arial" w:hAnsi="Arial"/>
          <w:b w:val="0"/>
          <w:i/>
          <w:color w:val="5A0000"/>
          <w:sz w:val="20"/>
        </w:rPr>
        <w:t>Holding: Separate but equal satisfies the Fourteenth Amendment.</w:t>
      </w:r>
    </w:p>
    <w:p>
      <w:pPr>
        <w:spacing w:before="0" w:after="120"/>
        <w:ind w:left="360"/>
        <w:jc w:val="both"/>
      </w:pPr>
      <w:r>
        <w:rPr>
          <w:rFonts w:ascii="Arial" w:hAnsi="Arial"/>
          <w:b w:val="0"/>
          <w:i w:val="0"/>
          <w:color w:val="000000"/>
          <w:sz w:val="21"/>
        </w:rPr>
        <w:t>The truth that separate was never equal pressed for 58 years through litigation, scholarship, documentation, and the lived experience of millions until the Court could no longer maintain the fiction.</w:t>
      </w:r>
    </w:p>
    <w:p>
      <w:pPr>
        <w:spacing w:before="160" w:after="40"/>
        <w:jc w:val="both"/>
      </w:pPr>
      <w:r>
        <w:rPr>
          <w:rFonts w:ascii="Arial" w:hAnsi="Arial"/>
          <w:b/>
          <w:i w:val="0"/>
          <w:color w:val="1A1A2E"/>
          <w:sz w:val="22"/>
        </w:rPr>
        <w:t>Bowers v. Hardwick</w:t>
      </w:r>
      <w:r>
        <w:rPr>
          <w:rFonts w:ascii="Arial" w:hAnsi="Arial"/>
          <w:b w:val="0"/>
          <w:i/>
          <w:color w:val="555577"/>
          <w:sz w:val="20"/>
        </w:rPr>
        <w:t xml:space="preserve">  (1986 — overruled 2003 (Lawrence v. Texas))</w:t>
      </w:r>
    </w:p>
    <w:p>
      <w:pPr>
        <w:spacing w:before="0" w:after="40"/>
        <w:ind w:left="360"/>
        <w:jc w:val="both"/>
      </w:pPr>
      <w:r>
        <w:rPr>
          <w:rFonts w:ascii="Arial" w:hAnsi="Arial"/>
          <w:b w:val="0"/>
          <w:i/>
          <w:color w:val="5A0000"/>
          <w:sz w:val="20"/>
        </w:rPr>
        <w:t>Holding: The Constitution permits criminalization of consensual intimate conduct.</w:t>
      </w:r>
    </w:p>
    <w:p>
      <w:pPr>
        <w:spacing w:before="0" w:after="120"/>
        <w:ind w:left="360"/>
        <w:jc w:val="both"/>
      </w:pPr>
      <w:r>
        <w:rPr>
          <w:rFonts w:ascii="Arial" w:hAnsi="Arial"/>
          <w:b w:val="0"/>
          <w:i w:val="0"/>
          <w:color w:val="000000"/>
          <w:sz w:val="21"/>
        </w:rPr>
        <w:t>The truth that persons have the right to dignity in their intimate lives pressed for 17 years until the Court reversed itself explicitly, acknowledging that Bowers was wrong when it was decided.</w:t>
      </w:r>
    </w:p>
    <w:p>
      <w:pPr>
        <w:spacing w:before="160" w:after="40"/>
        <w:jc w:val="both"/>
      </w:pPr>
      <w:r>
        <w:rPr>
          <w:rFonts w:ascii="Arial" w:hAnsi="Arial"/>
          <w:b/>
          <w:i w:val="0"/>
          <w:color w:val="1A1A2E"/>
          <w:sz w:val="22"/>
        </w:rPr>
        <w:t>Korematsu v. United States</w:t>
      </w:r>
      <w:r>
        <w:rPr>
          <w:rFonts w:ascii="Arial" w:hAnsi="Arial"/>
          <w:b w:val="0"/>
          <w:i/>
          <w:color w:val="555577"/>
          <w:sz w:val="20"/>
        </w:rPr>
        <w:t xml:space="preserve">  (1944 — overruled 2018 (Trump v. Hawaii))</w:t>
      </w:r>
    </w:p>
    <w:p>
      <w:pPr>
        <w:spacing w:before="0" w:after="40"/>
        <w:ind w:left="360"/>
        <w:jc w:val="both"/>
      </w:pPr>
      <w:r>
        <w:rPr>
          <w:rFonts w:ascii="Arial" w:hAnsi="Arial"/>
          <w:b w:val="0"/>
          <w:i/>
          <w:color w:val="5A0000"/>
          <w:sz w:val="20"/>
        </w:rPr>
        <w:t>Holding: The internment of Japanese Americans was constitutional.</w:t>
      </w:r>
    </w:p>
    <w:p>
      <w:pPr>
        <w:spacing w:before="0" w:after="120"/>
        <w:ind w:left="360"/>
        <w:jc w:val="both"/>
      </w:pPr>
      <w:r>
        <w:rPr>
          <w:rFonts w:ascii="Arial" w:hAnsi="Arial"/>
          <w:b w:val="0"/>
          <w:i w:val="0"/>
          <w:color w:val="000000"/>
          <w:sz w:val="21"/>
        </w:rPr>
        <w:t>The Court formally repudiated Korematsu in 2018 — 74 years later. The living beings who were interned did not live to see it. The truth waited.</w:t>
      </w:r>
    </w:p>
    <w:p>
      <w:pPr>
        <w:spacing w:before="120" w:after="120"/>
        <w:jc w:val="center"/>
      </w:pPr>
      <w:r>
        <w:rPr>
          <w:rFonts w:ascii="Arial" w:hAnsi="Arial"/>
          <w:b w:val="0"/>
          <w:i/>
          <w:color w:val="222244"/>
          <w:sz w:val="21"/>
        </w:rPr>
        <w:t>The cert denial is not the final word. It is the latest word. The truth that the system denied keeps pressing. The record that the living being builds today is the evidence that future courts — and history — will use to correct what current courts refused to face.</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003A"/>
          <w:sz w:val="24"/>
        </w:rPr>
        <w:t>FORUM SEVEN: THE CREATOR'S COURT</w:t>
      </w:r>
    </w:p>
    <w:p>
      <w:pPr>
        <w:spacing w:before="200" w:after="60"/>
        <w:jc w:val="left"/>
      </w:pPr>
      <w:r>
        <w:rPr>
          <w:rFonts w:ascii="Arial" w:hAnsi="Arial"/>
          <w:b/>
          <w:i w:val="0"/>
          <w:color w:val="222244"/>
          <w:sz w:val="22"/>
        </w:rPr>
        <w:t>The Forum That No Cert Denial Reaches</w:t>
      </w:r>
    </w:p>
    <w:p>
      <w:pPr>
        <w:spacing w:before="0" w:after="120"/>
        <w:jc w:val="both"/>
      </w:pPr>
      <w:r>
        <w:rPr>
          <w:rFonts w:ascii="Arial" w:hAnsi="Arial"/>
          <w:b w:val="0"/>
          <w:i w:val="0"/>
          <w:color w:val="000000"/>
          <w:sz w:val="21"/>
        </w:rPr>
        <w:t>Beyond every earthly forum is the forum that the Declaration of Independence acknowledged when it said rights are endowed by the Creator. Beyond the IACHR. Beyond the UN Human Rights Committee. Beyond the Special Rapporteurs. Beyond the amendment record of history. There is the forum whose jurisdiction the enterprise acknowledged it could not override and whose proceedings the sacred texts describe with specific and relevant detail.</w:t>
      </w:r>
    </w:p>
    <w:p>
      <w:pPr>
        <w:spacing w:before="120" w:after="120"/>
        <w:ind w:left="504" w:right="504"/>
        <w:jc w:val="both"/>
      </w:pPr>
      <w:r>
        <w:rPr>
          <w:rFonts w:ascii="Arial" w:hAnsi="Arial"/>
          <w:b/>
          <w:i w:val="0"/>
          <w:color w:val="1A003A"/>
          <w:sz w:val="20"/>
        </w:rPr>
        <w:t xml:space="preserve">Genesis 18:25  </w:t>
      </w:r>
      <w:r>
        <w:rPr>
          <w:rFonts w:ascii="Arial" w:hAnsi="Arial"/>
          <w:b w:val="0"/>
          <w:i/>
          <w:color w:val="222244"/>
          <w:sz w:val="21"/>
        </w:rPr>
        <w:t>Shall not the Judge of all the earth do right? Abraham's challenge — directed at the exercise of divine judgment itself, demanding that even the Creator be held to the standard of righteousness. The standard the enterprise has never met is the standard this forum applies.</w:t>
      </w:r>
    </w:p>
    <w:p>
      <w:pPr>
        <w:spacing w:before="120" w:after="120"/>
        <w:ind w:left="504" w:right="504"/>
        <w:jc w:val="both"/>
      </w:pPr>
      <w:r>
        <w:rPr>
          <w:rFonts w:ascii="Arial" w:hAnsi="Arial"/>
          <w:b/>
          <w:i w:val="0"/>
          <w:color w:val="1A003A"/>
          <w:sz w:val="20"/>
        </w:rPr>
        <w:t xml:space="preserve">Ecclesiastes 12:14  </w:t>
      </w:r>
      <w:r>
        <w:rPr>
          <w:rFonts w:ascii="Arial" w:hAnsi="Arial"/>
          <w:b w:val="0"/>
          <w:i/>
          <w:color w:val="222244"/>
          <w:sz w:val="21"/>
        </w:rPr>
        <w:t>For God will bring every deed into judgment, with every secret thing, whether good or evil. Every deed. Not every deed that survived procedural default. Not every deed that met the harmless error standard. Every deed. Every secret thing.</w:t>
      </w:r>
    </w:p>
    <w:p>
      <w:pPr>
        <w:spacing w:before="120" w:after="120"/>
        <w:ind w:left="504" w:right="504"/>
        <w:jc w:val="both"/>
      </w:pPr>
      <w:r>
        <w:rPr>
          <w:rFonts w:ascii="Arial" w:hAnsi="Arial"/>
          <w:b/>
          <w:i w:val="0"/>
          <w:color w:val="1A003A"/>
          <w:sz w:val="20"/>
        </w:rPr>
        <w:t xml:space="preserve">Hebrews 4:13  </w:t>
      </w:r>
      <w:r>
        <w:rPr>
          <w:rFonts w:ascii="Arial" w:hAnsi="Arial"/>
          <w:b w:val="0"/>
          <w:i/>
          <w:color w:val="222244"/>
          <w:sz w:val="21"/>
        </w:rPr>
        <w:t>And no creature is hidden from his sight, but all are naked and exposed to the eyes of him to whom we must give account. No creature. Not the trial judge. Not the appellate court. Not the justice who voted against cert without explanation. Not the official shielded by qualified immunity. All are naked and exposed.</w:t>
      </w:r>
    </w:p>
    <w:p>
      <w:pPr>
        <w:spacing w:before="120" w:after="120"/>
        <w:ind w:left="504" w:right="504"/>
        <w:jc w:val="both"/>
      </w:pPr>
      <w:r>
        <w:rPr>
          <w:rFonts w:ascii="Arial" w:hAnsi="Arial"/>
          <w:b/>
          <w:i w:val="0"/>
          <w:color w:val="1A003A"/>
          <w:sz w:val="20"/>
        </w:rPr>
        <w:t xml:space="preserve">James 4:12  </w:t>
      </w:r>
      <w:r>
        <w:rPr>
          <w:rFonts w:ascii="Arial" w:hAnsi="Arial"/>
          <w:b w:val="0"/>
          <w:i/>
          <w:color w:val="222244"/>
          <w:sz w:val="21"/>
        </w:rPr>
        <w:t>There is only one lawgiver and judge, he who is able to save and to destroy. Who are you to judge your neighbor? One lawgiver. One judge. The enterprise that placed itself in that position made a claim the sacred texts specifically reserve to one authority.</w:t>
      </w:r>
    </w:p>
    <w:p>
      <w:pPr>
        <w:spacing w:before="120" w:after="120"/>
        <w:ind w:left="504" w:right="504"/>
        <w:jc w:val="both"/>
      </w:pPr>
      <w:r>
        <w:rPr>
          <w:rFonts w:ascii="Arial" w:hAnsi="Arial"/>
          <w:b/>
          <w:i w:val="0"/>
          <w:color w:val="1A003A"/>
          <w:sz w:val="20"/>
        </w:rPr>
        <w:t xml:space="preserve">Revelation 20:12  </w:t>
      </w:r>
      <w:r>
        <w:rPr>
          <w:rFonts w:ascii="Arial" w:hAnsi="Arial"/>
          <w:b w:val="0"/>
          <w:i/>
          <w:color w:val="222244"/>
          <w:sz w:val="21"/>
        </w:rPr>
        <w:t>And I saw the dead, great and small, standing before the throne, and books were opened. Another book was opened, which is the book of life. And the dead were judged by what was written in the books, according to what they had done. Books. Records. What was written. What they had done. The record the living being builds is entered into the books that this forum uses.</w:t>
      </w:r>
    </w:p>
    <w:p>
      <w:pPr>
        <w:spacing w:before="160" w:after="120"/>
        <w:jc w:val="both"/>
      </w:pPr>
      <w:r>
        <w:rPr>
          <w:rFonts w:ascii="Arial" w:hAnsi="Arial"/>
          <w:b w:val="0"/>
          <w:i w:val="0"/>
          <w:color w:val="000000"/>
          <w:sz w:val="21"/>
        </w:rPr>
        <w:t>The Creator's court has no procedural default doctrine. No harmless error rule. No abuse of discretion standard protecting the powerful. No cert pool deciding whose rights are worth considering. No qualified immunity shielding officials from accountability for the rights they violated. No six-month filing deadline. No institutional financial interest in the outcome.</w:t>
      </w:r>
    </w:p>
    <w:p>
      <w:pPr>
        <w:spacing w:before="0" w:after="120"/>
        <w:jc w:val="both"/>
      </w:pPr>
      <w:r>
        <w:rPr>
          <w:rFonts w:ascii="Arial" w:hAnsi="Arial"/>
          <w:b w:val="0"/>
          <w:i w:val="0"/>
          <w:color w:val="000000"/>
          <w:sz w:val="21"/>
        </w:rPr>
        <w:t>Every deed. Every secret thing. The official who lied on the police report. The judge who called the constitutional violation harmless. The justice who voted no on cert without explanation. The university that occupies stolen land and issues land acknowledgment statements. The county that processed convict lease convictions and produces racially disparate traffic stop statistics today.</w:t>
      </w:r>
    </w:p>
    <w:p>
      <w:pPr>
        <w:spacing w:before="120" w:after="120"/>
        <w:jc w:val="center"/>
      </w:pPr>
      <w:r>
        <w:rPr>
          <w:rFonts w:ascii="Arial" w:hAnsi="Arial"/>
          <w:b/>
          <w:i/>
          <w:color w:val="1A003A"/>
          <w:sz w:val="21"/>
        </w:rPr>
        <w:t>All are naked and exposed to the eyes of him to whom we must give account.</w:t>
      </w:r>
    </w:p>
    <w:p>
      <w:pPr>
        <w:spacing w:before="0" w:after="200"/>
        <w:jc w:val="both"/>
      </w:pPr>
      <w:r>
        <w:rPr>
          <w:rFonts w:ascii="Arial" w:hAnsi="Arial"/>
          <w:b w:val="0"/>
          <w:i w:val="0"/>
          <w:color w:val="000000"/>
          <w:sz w:val="21"/>
        </w:rPr>
        <w:t>The living being who has exhausted every domestic remedy and filed every international petition has not reached the end of available forums. They have reached the beginning of the most consequential one. The record they built — every affidavit, every sworn statement, every documented violation, every preserved exhibit, every testimony given in every proceeding — is the record that the Creator's court will use.</w:t>
      </w:r>
    </w:p>
    <w:p>
      <w:pPr>
        <w:spacing w:before="120" w:after="120"/>
        <w:ind w:left="432" w:right="432"/>
        <w:jc w:val="center"/>
      </w:pPr>
      <w:r>
        <w:rPr>
          <w:rFonts w:ascii="Arial" w:hAnsi="Arial"/>
          <w:b w:val="0"/>
          <w:i/>
          <w:color w:val="7A5C00"/>
          <w:sz w:val="22"/>
        </w:rPr>
        <w:t>Certiorari denied. Four words that mean: this court declines to look. Those four words do not reach the forum where all are naked and exposed. They do not close the books where every deed is written. They do not silence the Judge of all the earth who asks: shall I not do right?</w:t>
      </w:r>
    </w:p>
    <w:p>
      <w:pPr>
        <w:spacing w:before="200" w:after="200"/>
        <w:jc w:val="center"/>
        <w:pBdr>
          <w:bottom w:val="single" w:sz="4" w:space="1" w:color="1a1a2e"/>
        </w:pBdr>
      </w:pPr>
    </w:p>
    <w:p>
      <w:pPr>
        <w:spacing w:before="320" w:after="80"/>
        <w:jc w:val="left"/>
        <w:pBdr>
          <w:bottom w:val="single" w:sz="5" w:space="1" w:color="1a1a2e"/>
        </w:pBdr>
      </w:pPr>
      <w:r>
        <w:rPr>
          <w:rFonts w:ascii="Arial" w:hAnsi="Arial"/>
          <w:b/>
          <w:i w:val="0"/>
          <w:color w:val="1A1A2E"/>
          <w:sz w:val="24"/>
        </w:rPr>
        <w:t>THE LIVING BEING'S TIMELINE AFTER DOMESTIC EXHAUSTION</w:t>
      </w:r>
    </w:p>
    <w:p>
      <w:pPr>
        <w:spacing w:before="0" w:after="120"/>
        <w:jc w:val="both"/>
      </w:pPr>
      <w:r>
        <w:rPr>
          <w:rFonts w:ascii="Arial" w:hAnsi="Arial"/>
          <w:b w:val="0"/>
          <w:i w:val="0"/>
          <w:color w:val="000000"/>
          <w:sz w:val="21"/>
        </w:rPr>
        <w:t>When the Supreme Court denies certiorari, the following timeline applies:</w:t>
      </w:r>
    </w:p>
    <w:p>
      <w:pPr>
        <w:spacing w:before="160" w:after="40"/>
        <w:jc w:val="both"/>
      </w:pPr>
      <w:r>
        <w:rPr>
          <w:rFonts w:ascii="Arial" w:hAnsi="Arial"/>
          <w:b/>
          <w:i w:val="0"/>
          <w:color w:val="1A1A2E"/>
          <w:sz w:val="22"/>
        </w:rPr>
        <w:t>IMMEDIATELY  Assess IACHR six-month deadline</w:t>
      </w:r>
    </w:p>
    <w:p>
      <w:pPr>
        <w:spacing w:before="0" w:after="120"/>
        <w:ind w:left="360"/>
        <w:jc w:val="both"/>
      </w:pPr>
      <w:r>
        <w:rPr>
          <w:rFonts w:ascii="Arial" w:hAnsi="Arial"/>
          <w:b w:val="0"/>
          <w:i w:val="0"/>
          <w:color w:val="000000"/>
          <w:sz w:val="21"/>
        </w:rPr>
        <w:t>The six-month window for IACHR petition filing begins running from the date of the final domestic decision. Calculate the deadline immediately. Mark it. Do not miss it. This is the most time-sensitive deadline in the international forum process.</w:t>
      </w:r>
    </w:p>
    <w:p>
      <w:pPr>
        <w:spacing w:before="160" w:after="40"/>
        <w:jc w:val="both"/>
      </w:pPr>
      <w:r>
        <w:rPr>
          <w:rFonts w:ascii="Arial" w:hAnsi="Arial"/>
          <w:b/>
          <w:i w:val="0"/>
          <w:color w:val="1A1A2E"/>
          <w:sz w:val="22"/>
        </w:rPr>
        <w:t>WITHIN 30 DAYS  Compile the complete record for international petition</w:t>
      </w:r>
    </w:p>
    <w:p>
      <w:pPr>
        <w:spacing w:before="0" w:after="120"/>
        <w:ind w:left="360"/>
        <w:jc w:val="both"/>
      </w:pPr>
      <w:r>
        <w:rPr>
          <w:rFonts w:ascii="Arial" w:hAnsi="Arial"/>
          <w:b w:val="0"/>
          <w:i w:val="0"/>
          <w:color w:val="000000"/>
          <w:sz w:val="21"/>
        </w:rPr>
        <w:t>Gather every court filing, every order, every transcript, every piece of evidence admitted and excluded, every objection preserved and defaulted. The international forum needs the complete domestic record. Compile it now while it is fresh and accessible.</w:t>
      </w:r>
    </w:p>
    <w:p>
      <w:pPr>
        <w:spacing w:before="160" w:after="40"/>
        <w:jc w:val="both"/>
      </w:pPr>
      <w:r>
        <w:rPr>
          <w:rFonts w:ascii="Arial" w:hAnsi="Arial"/>
          <w:b/>
          <w:i w:val="0"/>
          <w:color w:val="1A1A2E"/>
          <w:sz w:val="22"/>
        </w:rPr>
        <w:t>WITHIN 60 DAYS  File IACHR petition</w:t>
      </w:r>
    </w:p>
    <w:p>
      <w:pPr>
        <w:spacing w:before="0" w:after="120"/>
        <w:ind w:left="360"/>
        <w:jc w:val="both"/>
      </w:pPr>
      <w:r>
        <w:rPr>
          <w:rFonts w:ascii="Arial" w:hAnsi="Arial"/>
          <w:b w:val="0"/>
          <w:i w:val="0"/>
          <w:color w:val="000000"/>
          <w:sz w:val="21"/>
        </w:rPr>
        <w:t>Use the IACHR's online petition system. The petition should identify the petitioner, describe the facts, identify the violated rights, demonstrate domestic exhaustion, and specify the relief requested. Include the complete domestic record as attachments.</w:t>
      </w:r>
    </w:p>
    <w:p>
      <w:pPr>
        <w:spacing w:before="160" w:after="40"/>
        <w:jc w:val="both"/>
      </w:pPr>
      <w:r>
        <w:rPr>
          <w:rFonts w:ascii="Arial" w:hAnsi="Arial"/>
          <w:b/>
          <w:i w:val="0"/>
          <w:color w:val="1A1A2E"/>
          <w:sz w:val="22"/>
        </w:rPr>
        <w:t>WITHIN 90 DAYS  File UN Human Rights Committee communication</w:t>
      </w:r>
    </w:p>
    <w:p>
      <w:pPr>
        <w:spacing w:before="0" w:after="120"/>
        <w:ind w:left="360"/>
        <w:jc w:val="both"/>
      </w:pPr>
      <w:r>
        <w:rPr>
          <w:rFonts w:ascii="Arial" w:hAnsi="Arial"/>
          <w:b w:val="0"/>
          <w:i w:val="0"/>
          <w:color w:val="000000"/>
          <w:sz w:val="21"/>
        </w:rPr>
        <w:t>The ICCPR communication can be filed on the standard OHCHR complaint form. Identify the ICCPR articles violated, describe the facts, demonstrate domestic exhaustion.</w:t>
      </w:r>
    </w:p>
    <w:p>
      <w:pPr>
        <w:spacing w:before="160" w:after="40"/>
        <w:jc w:val="both"/>
      </w:pPr>
      <w:r>
        <w:rPr>
          <w:rFonts w:ascii="Arial" w:hAnsi="Arial"/>
          <w:b/>
          <w:i w:val="0"/>
          <w:color w:val="1A1A2E"/>
          <w:sz w:val="22"/>
        </w:rPr>
        <w:t>WITHIN 120 DAYS  File Special Rapporteur communications</w:t>
      </w:r>
    </w:p>
    <w:p>
      <w:pPr>
        <w:spacing w:before="0" w:after="120"/>
        <w:ind w:left="360"/>
        <w:jc w:val="both"/>
      </w:pPr>
      <w:r>
        <w:rPr>
          <w:rFonts w:ascii="Arial" w:hAnsi="Arial"/>
          <w:b w:val="0"/>
          <w:i w:val="0"/>
          <w:color w:val="000000"/>
          <w:sz w:val="21"/>
        </w:rPr>
        <w:t>Identify the most relevant Special Rapporteur mandates and file communications with each. The OHCHR has a unified communications system. Multiple Rapporteurs can receive the same communication.</w:t>
      </w:r>
    </w:p>
    <w:p>
      <w:pPr>
        <w:spacing w:before="160" w:after="40"/>
        <w:jc w:val="both"/>
      </w:pPr>
      <w:r>
        <w:rPr>
          <w:rFonts w:ascii="Arial" w:hAnsi="Arial"/>
          <w:b/>
          <w:i w:val="0"/>
          <w:color w:val="1A1A2E"/>
          <w:sz w:val="22"/>
        </w:rPr>
        <w:t>ONGOING  Build and preserve the record</w:t>
      </w:r>
    </w:p>
    <w:p>
      <w:pPr>
        <w:spacing w:before="0" w:after="120"/>
        <w:ind w:left="360"/>
        <w:jc w:val="both"/>
      </w:pPr>
      <w:r>
        <w:rPr>
          <w:rFonts w:ascii="Arial" w:hAnsi="Arial"/>
          <w:b w:val="0"/>
          <w:i w:val="0"/>
          <w:color w:val="000000"/>
          <w:sz w:val="21"/>
        </w:rPr>
        <w:t>Continue filing affidavits, preserving documents, and building the documentary record of what was done and what was denied. The amendment record of history demonstrates that the truth kept pressing until the system corrected what it had denied. The record you build today is the evidence for that correction.</w:t>
      </w:r>
    </w:p>
    <w:p>
      <w:pPr>
        <w:spacing w:before="160" w:after="40"/>
        <w:jc w:val="both"/>
      </w:pPr>
      <w:r>
        <w:rPr>
          <w:rFonts w:ascii="Arial" w:hAnsi="Arial"/>
          <w:b/>
          <w:i w:val="0"/>
          <w:color w:val="1A1A2E"/>
          <w:sz w:val="22"/>
        </w:rPr>
        <w:t>ALWAYS  The Creator's court is always in session</w:t>
      </w:r>
    </w:p>
    <w:p>
      <w:pPr>
        <w:spacing w:before="0" w:after="120"/>
        <w:ind w:left="360"/>
        <w:jc w:val="both"/>
      </w:pPr>
      <w:r>
        <w:rPr>
          <w:rFonts w:ascii="Arial" w:hAnsi="Arial"/>
          <w:b w:val="0"/>
          <w:i w:val="0"/>
          <w:color w:val="000000"/>
          <w:sz w:val="21"/>
        </w:rPr>
        <w:t>There is no deadline for the Creator's forum. No filing requirement. No admissibility standard. The record of every deed and every secret thing is continuously received. The living being who speaks truth, builds the record, and carries the Two Hands Doctrine into every proceeding is participating in the forum whose jurisdiction the Declaration of Independence acknowledged the enterprise cannot override.</w:t>
      </w:r>
    </w:p>
    <w:p>
      <w:pPr>
        <w:spacing w:before="200" w:after="200"/>
        <w:jc w:val="center"/>
        <w:pBdr>
          <w:bottom w:val="single" w:sz="4" w:space="1" w:color="1a1a2e"/>
        </w:pBdr>
      </w:pPr>
    </w:p>
    <w:p>
      <w:r>
        <w:br w:type="page"/>
      </w:r>
    </w:p>
    <w:p>
      <w:pPr>
        <w:spacing w:before="320" w:after="80"/>
        <w:jc w:val="left"/>
        <w:pBdr>
          <w:bottom w:val="single" w:sz="5" w:space="1" w:color="1a1a2e"/>
        </w:pBdr>
      </w:pPr>
      <w:r>
        <w:rPr>
          <w:rFonts w:ascii="Arial" w:hAnsi="Arial"/>
          <w:b/>
          <w:i w:val="0"/>
          <w:color w:val="1A1A2E"/>
          <w:sz w:val="24"/>
        </w:rPr>
        <w:t>CLOSING: THE LAST WORD IS NOT THEIRS</w:t>
      </w:r>
    </w:p>
    <w:p>
      <w:pPr>
        <w:spacing w:before="0" w:after="120"/>
        <w:jc w:val="both"/>
      </w:pPr>
      <w:r>
        <w:rPr>
          <w:rFonts w:ascii="Arial" w:hAnsi="Arial"/>
          <w:b w:val="0"/>
          <w:i w:val="0"/>
          <w:color w:val="000000"/>
          <w:sz w:val="21"/>
        </w:rPr>
        <w:t>The enterprise designed the domestic legal system to be its own last word. The Supreme Court's cert denial. The procedural default bar. The harmless error doctrine. The qualified immunity shield. Each mechanism designed to make the enterprise's violations unreviewable, final, and unchallengeable.</w:t>
      </w:r>
    </w:p>
    <w:p>
      <w:pPr>
        <w:spacing w:before="0" w:after="120"/>
        <w:jc w:val="center"/>
      </w:pPr>
      <w:r>
        <w:rPr>
          <w:rFonts w:ascii="Arial" w:hAnsi="Arial"/>
          <w:b/>
          <w:i w:val="0"/>
          <w:color w:val="6B0020"/>
          <w:sz w:val="21"/>
        </w:rPr>
        <w:t>Each mechanism failed.</w:t>
      </w:r>
    </w:p>
    <w:p>
      <w:pPr>
        <w:spacing w:before="0" w:after="120"/>
        <w:jc w:val="both"/>
      </w:pPr>
      <w:r>
        <w:rPr>
          <w:rFonts w:ascii="Arial" w:hAnsi="Arial"/>
          <w:b w:val="0"/>
          <w:i w:val="0"/>
          <w:color w:val="000000"/>
          <w:sz w:val="21"/>
        </w:rPr>
        <w:t>Dred Scott was the enterprise's last word on whether Black persons are full human beings with full rights. The Thirteenth and Fourteenth Amendments overruled it. Plessy was the enterprise's last word on whether segregation satisfies equal protection. Brown overruled it. Every cert denial issued to a civil rights petitioner who documented a genuine constitutional violation was the enterprise's last word on whether that violation mattered. The amendment record of history — and the Creator's court — are still writing the response.</w:t>
      </w:r>
    </w:p>
    <w:p>
      <w:pPr>
        <w:spacing w:before="0" w:after="200"/>
        <w:jc w:val="both"/>
      </w:pPr>
      <w:r>
        <w:rPr>
          <w:rFonts w:ascii="Arial" w:hAnsi="Arial"/>
          <w:b w:val="0"/>
          <w:i w:val="0"/>
          <w:color w:val="000000"/>
          <w:sz w:val="21"/>
        </w:rPr>
        <w:t>The living being who builds the record, files the petitions, speaks the testimony, and carries the Two Hands Doctrine into every forum available is not waiting for the enterprise to give them permission to pursue justice. They are pursuing it in every forum the enterprise does not control — and in the forum whose jurisdiction the enterprise acknowledged it cannot override.</w:t>
      </w:r>
    </w:p>
    <w:p>
      <w:pPr>
        <w:spacing w:before="120" w:after="80"/>
        <w:jc w:val="center"/>
      </w:pPr>
      <w:r>
        <w:rPr>
          <w:rFonts w:ascii="Arial" w:hAnsi="Arial"/>
          <w:b/>
          <w:i/>
          <w:color w:val="5A0000"/>
          <w:sz w:val="26"/>
        </w:rPr>
        <w:t>Certiorari denied.</w:t>
      </w:r>
    </w:p>
    <w:p>
      <w:pPr>
        <w:spacing w:before="0" w:after="80"/>
        <w:jc w:val="center"/>
      </w:pPr>
      <w:r>
        <w:rPr>
          <w:rFonts w:ascii="Arial" w:hAnsi="Arial"/>
          <w:b w:val="0"/>
          <w:i/>
          <w:color w:val="222244"/>
          <w:sz w:val="22"/>
        </w:rPr>
        <w:t>Four words that mean: this court declines to look.</w:t>
      </w:r>
    </w:p>
    <w:p>
      <w:pPr>
        <w:spacing w:before="0" w:after="80"/>
        <w:jc w:val="center"/>
      </w:pPr>
      <w:r>
        <w:rPr>
          <w:rFonts w:ascii="Arial" w:hAnsi="Arial"/>
          <w:b/>
          <w:i/>
          <w:color w:val="1A003A"/>
          <w:sz w:val="24"/>
        </w:rPr>
        <w:t>Shall not the Judge of all the earth do right?</w:t>
      </w:r>
    </w:p>
    <w:p>
      <w:pPr>
        <w:spacing w:before="0" w:after="280"/>
        <w:jc w:val="center"/>
      </w:pPr>
      <w:r>
        <w:rPr>
          <w:rFonts w:ascii="Arial" w:hAnsi="Arial"/>
          <w:b/>
          <w:i/>
          <w:color w:val="7A5C00"/>
          <w:sz w:val="26"/>
        </w:rPr>
        <w:t>That court is still in session.</w:t>
      </w:r>
    </w:p>
    <w:p>
      <w:pPr>
        <w:spacing w:before="120" w:after="120"/>
        <w:jc w:val="center"/>
        <w:pBdr>
          <w:bottom w:val="single" w:sz="4" w:space="1" w:color="1a1a2e"/>
        </w:pBdr>
      </w:pPr>
    </w:p>
    <w:p>
      <w:pPr>
        <w:spacing w:before="80" w:after="40"/>
        <w:jc w:val="center"/>
      </w:pPr>
      <w:r>
        <w:rPr>
          <w:rFonts w:ascii="Arial" w:hAnsi="Arial"/>
          <w:b/>
          <w:i w:val="0"/>
          <w:color w:val="1A1A2E"/>
          <w:sz w:val="24"/>
        </w:rPr>
        <w:t>Rickey Allan Howard</w:t>
      </w:r>
    </w:p>
    <w:p>
      <w:pPr>
        <w:spacing w:before="0" w:after="40"/>
        <w:jc w:val="center"/>
      </w:pPr>
      <w:r>
        <w:rPr>
          <w:rFonts w:ascii="Arial" w:hAnsi="Arial"/>
          <w:b w:val="0"/>
          <w:i w:val="0"/>
          <w:color w:val="555577"/>
          <w:sz w:val="20"/>
        </w:rPr>
        <w:t>Athens, Georgia  |  2026</w:t>
      </w:r>
    </w:p>
    <w:p>
      <w:pPr>
        <w:spacing w:before="0" w:after="160"/>
        <w:jc w:val="center"/>
      </w:pPr>
      <w:r>
        <w:rPr>
          <w:rFonts w:ascii="Arial" w:hAnsi="Arial"/>
          <w:b w:val="0"/>
          <w:i/>
          <w:color w:val="555577"/>
          <w:sz w:val="18"/>
        </w:rPr>
        <w:t>The Odyssey-1 System</w:t>
      </w:r>
    </w:p>
    <w:p>
      <w:pPr>
        <w:spacing w:before="80" w:after="80"/>
        <w:jc w:val="center"/>
        <w:pBdr>
          <w:bottom w:val="single" w:sz="2" w:space="1" w:color="1a1a2e"/>
        </w:pBdr>
      </w:pPr>
    </w:p>
    <w:p>
      <w:pPr>
        <w:spacing w:before="40" w:after="0"/>
        <w:jc w:val="center"/>
      </w:pPr>
      <w:r>
        <w:rPr>
          <w:rFonts w:ascii="Arial" w:hAnsi="Arial"/>
          <w:b w:val="0"/>
          <w:i/>
          <w:color w:val="555577"/>
          <w:sz w:val="21"/>
        </w:rPr>
        <w:t>Copyright 2026 Rickey Allan Howard. All rights reserved. Free reproduction permitted for non-commercial use with attribution.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