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3B1F7A"/>
          <w:sz w:val="32"/>
          <w:szCs w:val="32"/>
        </w:rPr>
        <w:t xml:space="preserve">Pattern Recognition for Payment Integrity:</w:t>
      </w:r>
    </w:p>
    <w:p>
      <w:pPr>
        <w:spacing w:after="40"/>
      </w:pPr>
      <w:r>
        <w:rPr>
          <w:rFonts w:ascii="Calibri" w:cs="Calibri" w:eastAsia="Calibri" w:hAnsi="Calibri"/>
          <w:b/>
          <w:bCs/>
          <w:color w:val="C2185B"/>
          <w:sz w:val="26"/>
          <w:szCs w:val="26"/>
        </w:rPr>
        <w:t xml:space="preserve">From Rules to Explainable Machine Learning</w:t>
      </w:r>
    </w:p>
    <w:p>
      <w:pPr>
        <w:pBdr>
          <w:bottom w:val="single" w:color="3B1F7A" w:sz="6" w:space="4"/>
        </w:pBdr>
        <w:spacing w:after="80"/>
      </w:pPr>
      <w:r>
        <w:rPr>
          <w:rFonts w:ascii="Calibri" w:cs="Calibri" w:eastAsia="Calibri" w:hAnsi="Calibri"/>
          <w:color w:val="555555"/>
          <w:sz w:val="18"/>
          <w:szCs w:val="18"/>
        </w:rPr>
        <w:t xml:space="preserve">Rhutika Patil  |  Cotiviti Intern Assessment, Technology Solutions Analyst  |  September 2026</w:t>
      </w:r>
    </w:p>
    <w:p>
      <w:pPr>
        <w:spacing w:after="50" w:before="110"/>
      </w:pPr>
      <w:r>
        <w:rPr>
          <w:rFonts w:ascii="Calibri" w:cs="Calibri" w:eastAsia="Calibri" w:hAnsi="Calibri"/>
          <w:b/>
          <w:bCs/>
          <w:color w:val="3B1F7A"/>
          <w:sz w:val="23"/>
          <w:szCs w:val="23"/>
        </w:rPr>
        <w:t xml:space="preserve">1. The concept</w:t>
      </w:r>
    </w:p>
    <w:p>
      <w:pPr>
        <w:spacing w:after="70" w:line="252"/>
      </w:pPr>
      <w:r>
        <w:rPr>
          <w:rFonts w:ascii="Calibri" w:cs="Calibri" w:eastAsia="Calibri" w:hAnsi="Calibri"/>
          <w:sz w:val="21"/>
          <w:szCs w:val="21"/>
        </w:rPr>
        <w:t xml:space="preserve">Pattern recognition in health care means using data to learn what normal looks like and to find the cases that break the pattern. Applied to Treatment, Payment, and Operations (TPO), it can flag prescribing that departs from guidelines (Treatment), claims billed at unusual volume, amount, or combination (Payment), and sudden spikes in denials or processing delays (Operations). Methods range from fixed rules and statistical thresholds, to machine learning that learns normal behavior without labels (unsupervised) or learns known fraud from past audits (supervised), to newer generative and agentic AI that can reason over claims and medical records. This paper focuses on </w:t>
      </w:r>
      <w:r>
        <w:rPr>
          <w:rFonts w:ascii="Calibri" w:cs="Calibri" w:eastAsia="Calibri" w:hAnsi="Calibri"/>
          <w:b/>
          <w:bCs/>
          <w:sz w:val="21"/>
          <w:szCs w:val="21"/>
        </w:rPr>
        <w:t xml:space="preserve">Payment</w:t>
      </w:r>
      <w:r>
        <w:rPr>
          <w:rFonts w:ascii="Calibri" w:cs="Calibri" w:eastAsia="Calibri" w:hAnsi="Calibri"/>
          <w:sz w:val="21"/>
          <w:szCs w:val="21"/>
        </w:rPr>
        <w:t xml:space="preserve">, the core of payment integrity.</w:t>
      </w:r>
    </w:p>
    <w:p>
      <w:pPr>
        <w:spacing w:after="50" w:before="110"/>
      </w:pPr>
      <w:r>
        <w:rPr>
          <w:rFonts w:ascii="Calibri" w:cs="Calibri" w:eastAsia="Calibri" w:hAnsi="Calibri"/>
          <w:b/>
          <w:bCs/>
          <w:color w:val="3B1F7A"/>
          <w:sz w:val="23"/>
          <w:szCs w:val="23"/>
        </w:rPr>
        <w:t xml:space="preserve">2. Relevant trends</w:t>
      </w:r>
    </w:p>
    <w:p>
      <w:pPr>
        <w:pStyle w:val="ListParagraph"/>
        <w:numPr>
          <w:ilvl w:val="0"/>
          <w:numId w:val="2"/>
        </w:numPr>
        <w:spacing w:after="40" w:line="252"/>
      </w:pPr>
      <w:r>
        <w:rPr>
          <w:rFonts w:ascii="Calibri" w:cs="Calibri" w:eastAsia="Calibri" w:hAnsi="Calibri"/>
          <w:b/>
          <w:bCs/>
          <w:sz w:val="21"/>
          <w:szCs w:val="21"/>
        </w:rPr>
        <w:t xml:space="preserve">The problem is large and persistent. </w:t>
      </w:r>
      <w:r>
        <w:rPr>
          <w:rFonts w:ascii="Calibri" w:cs="Calibri" w:eastAsia="Calibri" w:hAnsi="Calibri"/>
          <w:sz w:val="21"/>
          <w:szCs w:val="21"/>
        </w:rPr>
        <w:t xml:space="preserve">CMS estimated Medicare fee for service improper payments at 6.55% ($28.83 billion) in fiscal year 2025, plus $23.67 billion in Medicare Advantage. CMS stresses that improper payments are not all fraud; many are documentation errors (CMS, 2026a).</w:t>
      </w:r>
    </w:p>
    <w:p>
      <w:pPr>
        <w:pStyle w:val="ListParagraph"/>
        <w:numPr>
          <w:ilvl w:val="0"/>
          <w:numId w:val="2"/>
        </w:numPr>
        <w:spacing w:after="40" w:line="252"/>
      </w:pPr>
      <w:r>
        <w:rPr>
          <w:rFonts w:ascii="Calibri" w:cs="Calibri" w:eastAsia="Calibri" w:hAnsi="Calibri"/>
          <w:b/>
          <w:bCs/>
          <w:sz w:val="21"/>
          <w:szCs w:val="21"/>
        </w:rPr>
        <w:t xml:space="preserve">The shift to review before payment. </w:t>
      </w:r>
      <w:r>
        <w:rPr>
          <w:rFonts w:ascii="Calibri" w:cs="Calibri" w:eastAsia="Calibri" w:hAnsi="Calibri"/>
          <w:sz w:val="21"/>
          <w:szCs w:val="21"/>
        </w:rPr>
        <w:t xml:space="preserve">Stopping an error before payment is cheaper than recovering it later. On January 1, 2026, CMS launched WISeR, a six year model that uses AI and machine learning with human clinical review for prior authorization and prepayment review in six states (CMS, 2026b). Cotiviti's August 2026 Dental Claim Accuracy release added real time processing and AI assisted rule authoring (Cotiviti, 2026).</w:t>
      </w:r>
    </w:p>
    <w:p>
      <w:pPr>
        <w:pStyle w:val="ListParagraph"/>
        <w:numPr>
          <w:ilvl w:val="0"/>
          <w:numId w:val="2"/>
        </w:numPr>
        <w:spacing w:after="40" w:line="252"/>
      </w:pPr>
      <w:r>
        <w:rPr>
          <w:rFonts w:ascii="Calibri" w:cs="Calibri" w:eastAsia="Calibri" w:hAnsi="Calibri"/>
          <w:b/>
          <w:bCs/>
          <w:sz w:val="21"/>
          <w:szCs w:val="21"/>
        </w:rPr>
        <w:t xml:space="preserve">From rules to learning systems. </w:t>
      </w:r>
      <w:r>
        <w:rPr>
          <w:rFonts w:ascii="Calibri" w:cs="Calibri" w:eastAsia="Calibri" w:hAnsi="Calibri"/>
          <w:sz w:val="21"/>
          <w:szCs w:val="21"/>
        </w:rPr>
        <w:t xml:space="preserve">Studies on public Medicare data show machine learning can identify fraudulent providers, but confirmed labels are extremely rare and mostly capture overt cases, which pushes the field toward hybrid and unsupervised methods (Bauder &amp; Khoshgoftaar, 2018).</w:t>
      </w:r>
    </w:p>
    <w:p>
      <w:pPr>
        <w:pStyle w:val="ListParagraph"/>
        <w:numPr>
          <w:ilvl w:val="0"/>
          <w:numId w:val="2"/>
        </w:numPr>
        <w:spacing w:after="40" w:line="252"/>
      </w:pPr>
      <w:r>
        <w:rPr>
          <w:rFonts w:ascii="Calibri" w:cs="Calibri" w:eastAsia="Calibri" w:hAnsi="Calibri"/>
          <w:b/>
          <w:bCs/>
          <w:sz w:val="21"/>
          <w:szCs w:val="21"/>
        </w:rPr>
        <w:t xml:space="preserve">Guardrails are tightening. </w:t>
      </w:r>
      <w:r>
        <w:rPr>
          <w:rFonts w:ascii="Calibri" w:cs="Calibri" w:eastAsia="Calibri" w:hAnsi="Calibri"/>
          <w:sz w:val="21"/>
          <w:szCs w:val="21"/>
        </w:rPr>
        <w:t xml:space="preserve">California's SB 1120 (effective 2025) requires a licensed clinician to make final medical necessity decisions (Kansas Legislative Research Department, 2026). At least seven more states passed AI insurance laws in 2026; Illinois now lets automated tools flag claims for downcoding but requires a person to decide (Becker's Payer Issues, 2026). Explainability is becoming a requirement, not a feature.</w:t>
      </w:r>
    </w:p>
    <w:p>
      <w:pPr>
        <w:spacing w:after="50" w:before="110"/>
      </w:pPr>
      <w:r>
        <w:rPr>
          <w:rFonts w:ascii="Calibri" w:cs="Calibri" w:eastAsia="Calibri" w:hAnsi="Calibri"/>
          <w:b/>
          <w:bCs/>
          <w:color w:val="3B1F7A"/>
          <w:sz w:val="23"/>
          <w:szCs w:val="23"/>
        </w:rPr>
        <w:t xml:space="preserve">3. Proof of concept: what the data shows</w:t>
      </w:r>
    </w:p>
    <w:p>
      <w:pPr>
        <w:spacing w:after="70" w:line="252"/>
      </w:pPr>
      <w:r>
        <w:rPr>
          <w:rFonts w:ascii="Calibri" w:cs="Calibri" w:eastAsia="Calibri" w:hAnsi="Calibri"/>
          <w:sz w:val="21"/>
          <w:szCs w:val="21"/>
        </w:rPr>
        <w:t xml:space="preserve">Using 558,211 Medicare style claims from 5,410 providers (Gupta, 2019), I built provider profiles with SQL and compared three detection methods on a held out test set, assuming auditors can review the top 10% of providers: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1650"/>
        <w:gridCol w:w="1650"/>
        <w:gridCol w:w="1650"/>
        <w:gridCol w:w="1650"/>
      </w:tblGrid>
      <w:tr>
        <w:trPr>
          <w:tblHeader/>
        </w:trPr>
        <w:tc>
          <w:tcPr>
            <w:tcW w:type="dxa" w:w="3480"/>
            <w:tcBorders>
              <w:top w:val="single" w:color="BBBBBB" w:sz="4"/>
              <w:left w:val="single" w:color="BBBBBB" w:sz="4"/>
              <w:bottom w:val="single" w:color="BBBBBB" w:sz="4"/>
              <w:right w:val="single" w:color="BBBBBB" w:sz="4"/>
            </w:tcBorders>
            <w:shd w:fill="3B1F7A" w:color="auto" w:val="clear"/>
            <w:tcMar>
              <w:top w:type="dxa" w:w="50"/>
              <w:left w:type="dxa" w:w="90"/>
              <w:bottom w:type="dxa" w:w="50"/>
              <w:right w:type="dxa" w:w="90"/>
            </w:tcMar>
          </w:tcPr>
          <w:p>
            <w:pPr>
              <w:spacing w:after="20"/>
            </w:pPr>
            <w:r>
              <w:rPr>
                <w:rFonts w:ascii="Calibri" w:cs="Calibri" w:eastAsia="Calibri" w:hAnsi="Calibri"/>
                <w:b/>
                <w:bCs/>
                <w:color w:val="FFFFFF"/>
                <w:sz w:val="21"/>
                <w:szCs w:val="21"/>
              </w:rPr>
              <w:t xml:space="preserve">Method (test set, top 10% reviewed)</w:t>
            </w:r>
          </w:p>
        </w:tc>
        <w:tc>
          <w:tcPr>
            <w:tcW w:type="dxa" w:w="1650"/>
            <w:tcBorders>
              <w:top w:val="single" w:color="BBBBBB" w:sz="4"/>
              <w:left w:val="single" w:color="BBBBBB" w:sz="4"/>
              <w:bottom w:val="single" w:color="BBBBBB" w:sz="4"/>
              <w:right w:val="single" w:color="BBBBBB" w:sz="4"/>
            </w:tcBorders>
            <w:shd w:fill="3B1F7A" w:color="auto" w:val="clear"/>
            <w:tcMar>
              <w:top w:type="dxa" w:w="50"/>
              <w:left w:type="dxa" w:w="90"/>
              <w:bottom w:type="dxa" w:w="50"/>
              <w:right w:type="dxa" w:w="90"/>
            </w:tcMar>
          </w:tcPr>
          <w:p>
            <w:pPr>
              <w:spacing w:after="20"/>
            </w:pPr>
            <w:r>
              <w:rPr>
                <w:rFonts w:ascii="Calibri" w:cs="Calibri" w:eastAsia="Calibri" w:hAnsi="Calibri"/>
                <w:b/>
                <w:bCs/>
                <w:color w:val="FFFFFF"/>
                <w:sz w:val="21"/>
                <w:szCs w:val="21"/>
              </w:rPr>
              <w:t xml:space="preserve">Needs labels?</w:t>
            </w:r>
          </w:p>
        </w:tc>
        <w:tc>
          <w:tcPr>
            <w:tcW w:type="dxa" w:w="1650"/>
            <w:tcBorders>
              <w:top w:val="single" w:color="BBBBBB" w:sz="4"/>
              <w:left w:val="single" w:color="BBBBBB" w:sz="4"/>
              <w:bottom w:val="single" w:color="BBBBBB" w:sz="4"/>
              <w:right w:val="single" w:color="BBBBBB" w:sz="4"/>
            </w:tcBorders>
            <w:shd w:fill="3B1F7A" w:color="auto" w:val="clear"/>
            <w:tcMar>
              <w:top w:type="dxa" w:w="50"/>
              <w:left w:type="dxa" w:w="90"/>
              <w:bottom w:type="dxa" w:w="50"/>
              <w:right w:type="dxa" w:w="90"/>
            </w:tcMar>
          </w:tcPr>
          <w:p>
            <w:pPr>
              <w:spacing w:after="20"/>
            </w:pPr>
            <w:r>
              <w:rPr>
                <w:rFonts w:ascii="Calibri" w:cs="Calibri" w:eastAsia="Calibri" w:hAnsi="Calibri"/>
                <w:b/>
                <w:bCs/>
                <w:color w:val="FFFFFF"/>
                <w:sz w:val="21"/>
                <w:szCs w:val="21"/>
              </w:rPr>
              <w:t xml:space="preserve">Precision</w:t>
            </w:r>
          </w:p>
        </w:tc>
        <w:tc>
          <w:tcPr>
            <w:tcW w:type="dxa" w:w="1650"/>
            <w:tcBorders>
              <w:top w:val="single" w:color="BBBBBB" w:sz="4"/>
              <w:left w:val="single" w:color="BBBBBB" w:sz="4"/>
              <w:bottom w:val="single" w:color="BBBBBB" w:sz="4"/>
              <w:right w:val="single" w:color="BBBBBB" w:sz="4"/>
            </w:tcBorders>
            <w:shd w:fill="3B1F7A" w:color="auto" w:val="clear"/>
            <w:tcMar>
              <w:top w:type="dxa" w:w="50"/>
              <w:left w:type="dxa" w:w="90"/>
              <w:bottom w:type="dxa" w:w="50"/>
              <w:right w:type="dxa" w:w="90"/>
            </w:tcMar>
          </w:tcPr>
          <w:p>
            <w:pPr>
              <w:spacing w:after="20"/>
            </w:pPr>
            <w:r>
              <w:rPr>
                <w:rFonts w:ascii="Calibri" w:cs="Calibri" w:eastAsia="Calibri" w:hAnsi="Calibri"/>
                <w:b/>
                <w:bCs/>
                <w:color w:val="FFFFFF"/>
                <w:sz w:val="21"/>
                <w:szCs w:val="21"/>
              </w:rPr>
              <w:t xml:space="preserve">Recall</w:t>
            </w:r>
          </w:p>
        </w:tc>
        <w:tc>
          <w:tcPr>
            <w:tcW w:type="dxa" w:w="1650"/>
            <w:tcBorders>
              <w:top w:val="single" w:color="BBBBBB" w:sz="4"/>
              <w:left w:val="single" w:color="BBBBBB" w:sz="4"/>
              <w:bottom w:val="single" w:color="BBBBBB" w:sz="4"/>
              <w:right w:val="single" w:color="BBBBBB" w:sz="4"/>
            </w:tcBorders>
            <w:shd w:fill="3B1F7A" w:color="auto" w:val="clear"/>
            <w:tcMar>
              <w:top w:type="dxa" w:w="50"/>
              <w:left w:type="dxa" w:w="90"/>
              <w:bottom w:type="dxa" w:w="50"/>
              <w:right w:type="dxa" w:w="90"/>
            </w:tcMar>
          </w:tcPr>
          <w:p>
            <w:pPr>
              <w:spacing w:after="20"/>
            </w:pPr>
            <w:r>
              <w:rPr>
                <w:rFonts w:ascii="Calibri" w:cs="Calibri" w:eastAsia="Calibri" w:hAnsi="Calibri"/>
                <w:b/>
                <w:bCs/>
                <w:color w:val="FFFFFF"/>
                <w:sz w:val="21"/>
                <w:szCs w:val="21"/>
              </w:rPr>
              <w:t xml:space="preserve">PR AUC</w:t>
            </w:r>
          </w:p>
        </w:tc>
      </w:tr>
      <w:tr>
        <w:tc>
          <w:tcPr>
            <w:tcW w:type="dxa" w:w="34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Statistical rules (z score)</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No</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46%</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57%</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0.58</w:t>
            </w:r>
          </w:p>
        </w:tc>
      </w:tr>
      <w:tr>
        <w:tc>
          <w:tcPr>
            <w:tcW w:type="dxa" w:w="34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Isolation Forest (unsupervised)</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No</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36%</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43%</w:t>
            </w:r>
          </w:p>
        </w:tc>
        <w:tc>
          <w:tcPr>
            <w:tcW w:type="dxa" w:w="16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rFonts w:ascii="Calibri" w:cs="Calibri" w:eastAsia="Calibri" w:hAnsi="Calibri"/>
                <w:sz w:val="21"/>
                <w:szCs w:val="21"/>
              </w:rPr>
              <w:t xml:space="preserve">0.30</w:t>
            </w:r>
          </w:p>
        </w:tc>
      </w:tr>
      <w:tr>
        <w:tc>
          <w:tcPr>
            <w:tcW w:type="dxa" w:w="3480"/>
            <w:tcBorders>
              <w:top w:val="single" w:color="BBBBBB" w:sz="4"/>
              <w:left w:val="single" w:color="BBBBBB" w:sz="4"/>
              <w:bottom w:val="single" w:color="BBBBBB" w:sz="4"/>
              <w:right w:val="single" w:color="BBBBBB" w:sz="4"/>
            </w:tcBorders>
            <w:shd w:fill="EFE9F7" w:color="auto" w:val="clear"/>
            <w:tcMar>
              <w:top w:type="dxa" w:w="50"/>
              <w:left w:type="dxa" w:w="90"/>
              <w:bottom w:type="dxa" w:w="50"/>
              <w:right w:type="dxa" w:w="90"/>
            </w:tcMar>
          </w:tcPr>
          <w:p>
            <w:pPr>
              <w:spacing w:after="20"/>
            </w:pPr>
            <w:r>
              <w:rPr>
                <w:rFonts w:ascii="Calibri" w:cs="Calibri" w:eastAsia="Calibri" w:hAnsi="Calibri"/>
                <w:b/>
                <w:bCs/>
                <w:sz w:val="21"/>
                <w:szCs w:val="21"/>
              </w:rPr>
              <w:t xml:space="preserve">Logistic Regression (supervised)</w:t>
            </w:r>
          </w:p>
        </w:tc>
        <w:tc>
          <w:tcPr>
            <w:tcW w:type="dxa" w:w="1650"/>
            <w:tcBorders>
              <w:top w:val="single" w:color="BBBBBB" w:sz="4"/>
              <w:left w:val="single" w:color="BBBBBB" w:sz="4"/>
              <w:bottom w:val="single" w:color="BBBBBB" w:sz="4"/>
              <w:right w:val="single" w:color="BBBBBB" w:sz="4"/>
            </w:tcBorders>
            <w:shd w:fill="EFE9F7" w:color="auto" w:val="clear"/>
            <w:tcMar>
              <w:top w:type="dxa" w:w="50"/>
              <w:left w:type="dxa" w:w="90"/>
              <w:bottom w:type="dxa" w:w="50"/>
              <w:right w:type="dxa" w:w="90"/>
            </w:tcMar>
          </w:tcPr>
          <w:p>
            <w:pPr>
              <w:spacing w:after="20"/>
            </w:pPr>
            <w:r>
              <w:rPr>
                <w:rFonts w:ascii="Calibri" w:cs="Calibri" w:eastAsia="Calibri" w:hAnsi="Calibri"/>
                <w:b/>
                <w:bCs/>
                <w:sz w:val="21"/>
                <w:szCs w:val="21"/>
              </w:rPr>
              <w:t xml:space="preserve">Yes</w:t>
            </w:r>
          </w:p>
        </w:tc>
        <w:tc>
          <w:tcPr>
            <w:tcW w:type="dxa" w:w="1650"/>
            <w:tcBorders>
              <w:top w:val="single" w:color="BBBBBB" w:sz="4"/>
              <w:left w:val="single" w:color="BBBBBB" w:sz="4"/>
              <w:bottom w:val="single" w:color="BBBBBB" w:sz="4"/>
              <w:right w:val="single" w:color="BBBBBB" w:sz="4"/>
            </w:tcBorders>
            <w:shd w:fill="EFE9F7" w:color="auto" w:val="clear"/>
            <w:tcMar>
              <w:top w:type="dxa" w:w="50"/>
              <w:left w:type="dxa" w:w="90"/>
              <w:bottom w:type="dxa" w:w="50"/>
              <w:right w:type="dxa" w:w="90"/>
            </w:tcMar>
          </w:tcPr>
          <w:p>
            <w:pPr>
              <w:spacing w:after="20"/>
            </w:pPr>
            <w:r>
              <w:rPr>
                <w:rFonts w:ascii="Calibri" w:cs="Calibri" w:eastAsia="Calibri" w:hAnsi="Calibri"/>
                <w:b/>
                <w:bCs/>
                <w:sz w:val="21"/>
                <w:szCs w:val="21"/>
              </w:rPr>
              <w:t xml:space="preserve">64%</w:t>
            </w:r>
          </w:p>
        </w:tc>
        <w:tc>
          <w:tcPr>
            <w:tcW w:type="dxa" w:w="1650"/>
            <w:tcBorders>
              <w:top w:val="single" w:color="BBBBBB" w:sz="4"/>
              <w:left w:val="single" w:color="BBBBBB" w:sz="4"/>
              <w:bottom w:val="single" w:color="BBBBBB" w:sz="4"/>
              <w:right w:val="single" w:color="BBBBBB" w:sz="4"/>
            </w:tcBorders>
            <w:shd w:fill="EFE9F7" w:color="auto" w:val="clear"/>
            <w:tcMar>
              <w:top w:type="dxa" w:w="50"/>
              <w:left w:type="dxa" w:w="90"/>
              <w:bottom w:type="dxa" w:w="50"/>
              <w:right w:type="dxa" w:w="90"/>
            </w:tcMar>
          </w:tcPr>
          <w:p>
            <w:pPr>
              <w:spacing w:after="20"/>
            </w:pPr>
            <w:r>
              <w:rPr>
                <w:rFonts w:ascii="Calibri" w:cs="Calibri" w:eastAsia="Calibri" w:hAnsi="Calibri"/>
                <w:b/>
                <w:bCs/>
                <w:sz w:val="21"/>
                <w:szCs w:val="21"/>
              </w:rPr>
              <w:t xml:space="preserve">71%</w:t>
            </w:r>
          </w:p>
        </w:tc>
        <w:tc>
          <w:tcPr>
            <w:tcW w:type="dxa" w:w="1650"/>
            <w:tcBorders>
              <w:top w:val="single" w:color="BBBBBB" w:sz="4"/>
              <w:left w:val="single" w:color="BBBBBB" w:sz="4"/>
              <w:bottom w:val="single" w:color="BBBBBB" w:sz="4"/>
              <w:right w:val="single" w:color="BBBBBB" w:sz="4"/>
            </w:tcBorders>
            <w:shd w:fill="EFE9F7" w:color="auto" w:val="clear"/>
            <w:tcMar>
              <w:top w:type="dxa" w:w="50"/>
              <w:left w:type="dxa" w:w="90"/>
              <w:bottom w:type="dxa" w:w="50"/>
              <w:right w:type="dxa" w:w="90"/>
            </w:tcMar>
          </w:tcPr>
          <w:p>
            <w:pPr>
              <w:spacing w:after="20"/>
            </w:pPr>
            <w:r>
              <w:rPr>
                <w:rFonts w:ascii="Calibri" w:cs="Calibri" w:eastAsia="Calibri" w:hAnsi="Calibri"/>
                <w:b/>
                <w:bCs/>
                <w:sz w:val="21"/>
                <w:szCs w:val="21"/>
              </w:rPr>
              <w:t xml:space="preserve">0.74</w:t>
            </w:r>
          </w:p>
        </w:tc>
      </w:tr>
    </w:tbl>
    <w:p>
      <w:pPr>
        <w:spacing w:after="60" w:before="30"/>
      </w:pPr>
      <w:r>
        <w:rPr>
          <w:rFonts w:ascii="Calibri" w:cs="Calibri" w:eastAsia="Calibri" w:hAnsi="Calibri"/>
          <w:i/>
          <w:iCs/>
          <w:color w:val="555555"/>
          <w:sz w:val="18"/>
          <w:szCs w:val="18"/>
        </w:rPr>
        <w:t xml:space="preserve">A random ranking scores a PR AUC of 0.09. </w:t>
      </w:r>
    </w:p>
    <w:p>
      <w:pPr>
        <w:spacing w:after="70" w:line="252"/>
      </w:pPr>
      <w:r>
        <w:rPr>
          <w:rFonts w:ascii="Calibri" w:cs="Calibri" w:eastAsia="Calibri" w:hAnsi="Calibri"/>
          <w:b/>
          <w:bCs/>
          <w:sz w:val="21"/>
          <w:szCs w:val="21"/>
        </w:rPr>
        <w:t xml:space="preserve">Key findings: </w:t>
      </w:r>
      <w:r>
        <w:rPr>
          <w:rFonts w:ascii="Calibri" w:cs="Calibri" w:eastAsia="Calibri" w:hAnsi="Calibri"/>
          <w:sz w:val="21"/>
          <w:szCs w:val="21"/>
        </w:rPr>
        <w:t xml:space="preserve">the 9.4% of providers labeled potential fraud billed 53% of all dollars. Supervised learning performed best, and the unsupervised model still found real signal with no labels at all. Every flagged provider received a plain English reason. The main weakness: most signals reflect provider size, so a production system must compare providers against peers of similar size and specialty.</w:t>
      </w:r>
    </w:p>
    <w:p>
      <w:r>
        <w:br w:type="page"/>
      </w:r>
    </w:p>
    <w:p>
      <w:pPr>
        <w:spacing w:after="50" w:before="110"/>
      </w:pPr>
      <w:r>
        <w:rPr>
          <w:rFonts w:ascii="Calibri" w:cs="Calibri" w:eastAsia="Calibri" w:hAnsi="Calibri"/>
          <w:b/>
          <w:bCs/>
          <w:color w:val="3B1F7A"/>
          <w:sz w:val="23"/>
          <w:szCs w:val="23"/>
        </w:rPr>
        <w:t xml:space="preserve">4. Opportunities and threats (SWOT)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BBBBB" w:sz="4"/>
              <w:left w:val="single" w:color="BBBBBB" w:sz="4"/>
              <w:bottom w:val="single" w:color="BBBBBB" w:sz="4"/>
              <w:right w:val="single" w:color="BBBBBB" w:sz="4"/>
            </w:tcBorders>
            <w:shd w:fill="F4F1FA" w:color="auto" w:val="clear"/>
            <w:tcMar>
              <w:top w:type="dxa" w:w="60"/>
              <w:left w:type="dxa" w:w="100"/>
              <w:bottom w:type="dxa" w:w="60"/>
              <w:right w:type="dxa" w:w="100"/>
            </w:tcMar>
          </w:tcPr>
          <w:p>
            <w:pPr>
              <w:spacing w:after="30"/>
            </w:pPr>
            <w:r>
              <w:rPr>
                <w:rFonts w:ascii="Calibri" w:cs="Calibri" w:eastAsia="Calibri" w:hAnsi="Calibri"/>
                <w:b/>
                <w:bCs/>
                <w:color w:val="3B1F7A"/>
                <w:sz w:val="21"/>
                <w:szCs w:val="21"/>
              </w:rPr>
              <w:t xml:space="preserve">Strengths (of the technology)</w:t>
            </w:r>
          </w:p>
          <w:p>
            <w:pPr>
              <w:pStyle w:val="ListParagraph"/>
              <w:numPr>
                <w:ilvl w:val="0"/>
                <w:numId w:val="2"/>
              </w:numPr>
              <w:spacing w:after="20" w:line="240"/>
            </w:pPr>
            <w:r>
              <w:rPr>
                <w:rFonts w:ascii="Calibri" w:cs="Calibri" w:eastAsia="Calibri" w:hAnsi="Calibri"/>
                <w:sz w:val="19"/>
                <w:szCs w:val="19"/>
              </w:rPr>
              <w:t xml:space="preserve">Scales to millions of claims and ranks review queues so auditors see the highest risk first.</w:t>
            </w:r>
          </w:p>
          <w:p>
            <w:pPr>
              <w:pStyle w:val="ListParagraph"/>
              <w:numPr>
                <w:ilvl w:val="0"/>
                <w:numId w:val="2"/>
              </w:numPr>
              <w:spacing w:after="20" w:line="240"/>
            </w:pPr>
            <w:r>
              <w:rPr>
                <w:rFonts w:ascii="Calibri" w:cs="Calibri" w:eastAsia="Calibri" w:hAnsi="Calibri"/>
                <w:sz w:val="19"/>
                <w:szCs w:val="19"/>
              </w:rPr>
              <w:t xml:space="preserve">Rules and Logistic Regression give reasons that auditors and providers can check.</w:t>
            </w:r>
          </w:p>
          <w:p>
            <w:pPr>
              <w:pStyle w:val="ListParagraph"/>
              <w:numPr>
                <w:ilvl w:val="0"/>
                <w:numId w:val="2"/>
              </w:numPr>
              <w:spacing w:after="20" w:line="240"/>
            </w:pPr>
            <w:r>
              <w:rPr>
                <w:rFonts w:ascii="Calibri" w:cs="Calibri" w:eastAsia="Calibri" w:hAnsi="Calibri"/>
                <w:sz w:val="19"/>
                <w:szCs w:val="19"/>
              </w:rPr>
              <w:t xml:space="preserve">Unsupervised methods work with no labels and can surface new schemes.</w:t>
            </w:r>
          </w:p>
        </w:tc>
        <w:tc>
          <w:tcPr>
            <w:tcW w:type="dxa" w:w="5040"/>
            <w:tcBorders>
              <w:top w:val="single" w:color="BBBBBB" w:sz="4"/>
              <w:left w:val="single" w:color="BBBBBB" w:sz="4"/>
              <w:bottom w:val="single" w:color="BBBBBB" w:sz="4"/>
              <w:right w:val="single" w:color="BBBBBB" w:sz="4"/>
            </w:tcBorders>
            <w:shd w:fill="F4F1FA" w:color="auto" w:val="clear"/>
            <w:tcMar>
              <w:top w:type="dxa" w:w="60"/>
              <w:left w:type="dxa" w:w="100"/>
              <w:bottom w:type="dxa" w:w="60"/>
              <w:right w:type="dxa" w:w="100"/>
            </w:tcMar>
          </w:tcPr>
          <w:p>
            <w:pPr>
              <w:spacing w:after="30"/>
            </w:pPr>
            <w:r>
              <w:rPr>
                <w:rFonts w:ascii="Calibri" w:cs="Calibri" w:eastAsia="Calibri" w:hAnsi="Calibri"/>
                <w:b/>
                <w:bCs/>
                <w:color w:val="3B1F7A"/>
                <w:sz w:val="21"/>
                <w:szCs w:val="21"/>
              </w:rPr>
              <w:t xml:space="preserve">Weaknesses</w:t>
            </w:r>
          </w:p>
          <w:p>
            <w:pPr>
              <w:pStyle w:val="ListParagraph"/>
              <w:numPr>
                <w:ilvl w:val="0"/>
                <w:numId w:val="2"/>
              </w:numPr>
              <w:spacing w:after="20" w:line="240"/>
            </w:pPr>
            <w:r>
              <w:rPr>
                <w:rFonts w:ascii="Calibri" w:cs="Calibri" w:eastAsia="Calibri" w:hAnsi="Calibri"/>
                <w:sz w:val="19"/>
                <w:szCs w:val="19"/>
              </w:rPr>
              <w:t xml:space="preserve">Confirmed fraud labels are rare, slow to arrive, and biased toward known, overt schemes.</w:t>
            </w:r>
          </w:p>
          <w:p>
            <w:pPr>
              <w:pStyle w:val="ListParagraph"/>
              <w:numPr>
                <w:ilvl w:val="0"/>
                <w:numId w:val="2"/>
              </w:numPr>
              <w:spacing w:after="20" w:line="240"/>
            </w:pPr>
            <w:r>
              <w:rPr>
                <w:rFonts w:ascii="Calibri" w:cs="Calibri" w:eastAsia="Calibri" w:hAnsi="Calibri"/>
                <w:sz w:val="19"/>
                <w:szCs w:val="19"/>
              </w:rPr>
              <w:t xml:space="preserve">Unusual is not the same as fraudulent: false positives waste audit time and strain provider relationships.</w:t>
            </w:r>
          </w:p>
          <w:p>
            <w:pPr>
              <w:pStyle w:val="ListParagraph"/>
              <w:numPr>
                <w:ilvl w:val="0"/>
                <w:numId w:val="2"/>
              </w:numPr>
              <w:spacing w:after="20" w:line="240"/>
            </w:pPr>
            <w:r>
              <w:rPr>
                <w:rFonts w:ascii="Calibri" w:cs="Calibri" w:eastAsia="Calibri" w:hAnsi="Calibri"/>
                <w:sz w:val="19"/>
                <w:szCs w:val="19"/>
              </w:rPr>
              <w:t xml:space="preserve">Without peer groups, size and specialty drive the scores (seen in the prototype).</w:t>
            </w:r>
          </w:p>
        </w:tc>
      </w:tr>
      <w:tr>
        <w:trPr>
          <w:cantSplit/>
        </w:trPr>
        <w:tc>
          <w:tcPr>
            <w:tcW w:type="dxa" w:w="5040"/>
            <w:tcBorders>
              <w:top w:val="single" w:color="BBBBBB" w:sz="4"/>
              <w:left w:val="single" w:color="BBBBBB" w:sz="4"/>
              <w:bottom w:val="single" w:color="BBBBBB" w:sz="4"/>
              <w:right w:val="single" w:color="BBBBBB" w:sz="4"/>
            </w:tcBorders>
            <w:shd w:fill="FCEFF4" w:color="auto" w:val="clear"/>
            <w:tcMar>
              <w:top w:type="dxa" w:w="60"/>
              <w:left w:type="dxa" w:w="100"/>
              <w:bottom w:type="dxa" w:w="60"/>
              <w:right w:type="dxa" w:w="100"/>
            </w:tcMar>
          </w:tcPr>
          <w:p>
            <w:pPr>
              <w:spacing w:after="30"/>
            </w:pPr>
            <w:r>
              <w:rPr>
                <w:rFonts w:ascii="Calibri" w:cs="Calibri" w:eastAsia="Calibri" w:hAnsi="Calibri"/>
                <w:b/>
                <w:bCs/>
                <w:color w:val="3B1F7A"/>
                <w:sz w:val="21"/>
                <w:szCs w:val="21"/>
              </w:rPr>
              <w:t xml:space="preserve">Opportunities</w:t>
            </w:r>
          </w:p>
          <w:p>
            <w:pPr>
              <w:pStyle w:val="ListParagraph"/>
              <w:numPr>
                <w:ilvl w:val="0"/>
                <w:numId w:val="2"/>
              </w:numPr>
              <w:spacing w:after="20" w:line="240"/>
            </w:pPr>
            <w:r>
              <w:rPr>
                <w:rFonts w:ascii="Calibri" w:cs="Calibri" w:eastAsia="Calibri" w:hAnsi="Calibri"/>
                <w:sz w:val="19"/>
                <w:szCs w:val="19"/>
              </w:rPr>
              <w:t xml:space="preserve">Growing demand for review before payment (WISeR, payer shift to prevention).</w:t>
            </w:r>
          </w:p>
          <w:p>
            <w:pPr>
              <w:pStyle w:val="ListParagraph"/>
              <w:numPr>
                <w:ilvl w:val="0"/>
                <w:numId w:val="2"/>
              </w:numPr>
              <w:spacing w:after="20" w:line="240"/>
            </w:pPr>
            <w:r>
              <w:rPr>
                <w:rFonts w:ascii="Calibri" w:cs="Calibri" w:eastAsia="Calibri" w:hAnsi="Calibri"/>
                <w:sz w:val="19"/>
                <w:szCs w:val="19"/>
              </w:rPr>
              <w:t xml:space="preserve">Auditor decisions can be captured as new training labels, improving models over time.</w:t>
            </w:r>
          </w:p>
          <w:p>
            <w:pPr>
              <w:pStyle w:val="ListParagraph"/>
              <w:numPr>
                <w:ilvl w:val="0"/>
                <w:numId w:val="2"/>
              </w:numPr>
              <w:spacing w:after="20" w:line="240"/>
            </w:pPr>
            <w:r>
              <w:rPr>
                <w:rFonts w:ascii="Calibri" w:cs="Calibri" w:eastAsia="Calibri" w:hAnsi="Calibri"/>
                <w:sz w:val="19"/>
                <w:szCs w:val="19"/>
              </w:rPr>
              <w:t xml:space="preserve">The same approach extends to Treatment and Operations and to new lines such as dental.</w:t>
            </w:r>
          </w:p>
        </w:tc>
        <w:tc>
          <w:tcPr>
            <w:tcW w:type="dxa" w:w="5040"/>
            <w:tcBorders>
              <w:top w:val="single" w:color="BBBBBB" w:sz="4"/>
              <w:left w:val="single" w:color="BBBBBB" w:sz="4"/>
              <w:bottom w:val="single" w:color="BBBBBB" w:sz="4"/>
              <w:right w:val="single" w:color="BBBBBB" w:sz="4"/>
            </w:tcBorders>
            <w:shd w:fill="FCEFF4" w:color="auto" w:val="clear"/>
            <w:tcMar>
              <w:top w:type="dxa" w:w="60"/>
              <w:left w:type="dxa" w:w="100"/>
              <w:bottom w:type="dxa" w:w="60"/>
              <w:right w:type="dxa" w:w="100"/>
            </w:tcMar>
          </w:tcPr>
          <w:p>
            <w:pPr>
              <w:spacing w:after="30"/>
            </w:pPr>
            <w:r>
              <w:rPr>
                <w:rFonts w:ascii="Calibri" w:cs="Calibri" w:eastAsia="Calibri" w:hAnsi="Calibri"/>
                <w:b/>
                <w:bCs/>
                <w:color w:val="3B1F7A"/>
                <w:sz w:val="21"/>
                <w:szCs w:val="21"/>
              </w:rPr>
              <w:t xml:space="preserve">Threats</w:t>
            </w:r>
          </w:p>
          <w:p>
            <w:pPr>
              <w:pStyle w:val="ListParagraph"/>
              <w:numPr>
                <w:ilvl w:val="0"/>
                <w:numId w:val="2"/>
              </w:numPr>
              <w:spacing w:after="20" w:line="240"/>
            </w:pPr>
            <w:r>
              <w:rPr>
                <w:rFonts w:ascii="Calibri" w:cs="Calibri" w:eastAsia="Calibri" w:hAnsi="Calibri"/>
                <w:sz w:val="19"/>
                <w:szCs w:val="19"/>
              </w:rPr>
              <w:t xml:space="preserve">State laws limit automated denials and require human review and disclosure.</w:t>
            </w:r>
          </w:p>
          <w:p>
            <w:pPr>
              <w:pStyle w:val="ListParagraph"/>
              <w:numPr>
                <w:ilvl w:val="0"/>
                <w:numId w:val="2"/>
              </w:numPr>
              <w:spacing w:after="20" w:line="240"/>
            </w:pPr>
            <w:r>
              <w:rPr>
                <w:rFonts w:ascii="Calibri" w:cs="Calibri" w:eastAsia="Calibri" w:hAnsi="Calibri"/>
                <w:sz w:val="19"/>
                <w:szCs w:val="19"/>
              </w:rPr>
              <w:t xml:space="preserve">Political scrutiny of AI in Medicare, including a proposed bill to ban AI denials (DLA Piper, 2026).</w:t>
            </w:r>
          </w:p>
          <w:p>
            <w:pPr>
              <w:pStyle w:val="ListParagraph"/>
              <w:numPr>
                <w:ilvl w:val="0"/>
                <w:numId w:val="2"/>
              </w:numPr>
              <w:spacing w:after="20" w:line="240"/>
            </w:pPr>
            <w:r>
              <w:rPr>
                <w:rFonts w:ascii="Calibri" w:cs="Calibri" w:eastAsia="Calibri" w:hAnsi="Calibri"/>
                <w:sz w:val="19"/>
                <w:szCs w:val="19"/>
              </w:rPr>
              <w:t xml:space="preserve">Providers adapt billing to avoid known edits; models drift and need retraining.</w:t>
            </w:r>
          </w:p>
        </w:tc>
      </w:tr>
    </w:tbl>
    <w:p>
      <w:pPr>
        <w:spacing w:after="50" w:before="110"/>
      </w:pPr>
      <w:r>
        <w:rPr>
          <w:rFonts w:ascii="Calibri" w:cs="Calibri" w:eastAsia="Calibri" w:hAnsi="Calibri"/>
          <w:b/>
          <w:bCs/>
          <w:color w:val="3B1F7A"/>
          <w:sz w:val="23"/>
          <w:szCs w:val="23"/>
        </w:rPr>
        <w:t xml:space="preserve">5. Options for Cotiviti</w:t>
      </w:r>
    </w:p>
    <w:p>
      <w:pPr>
        <w:pStyle w:val="ListParagraph"/>
        <w:numPr>
          <w:ilvl w:val="0"/>
          <w:numId w:val="2"/>
        </w:numPr>
        <w:spacing w:after="40" w:line="252"/>
      </w:pPr>
      <w:r>
        <w:rPr>
          <w:rFonts w:ascii="Calibri" w:cs="Calibri" w:eastAsia="Calibri" w:hAnsi="Calibri"/>
          <w:b/>
          <w:bCs/>
          <w:sz w:val="21"/>
          <w:szCs w:val="21"/>
        </w:rPr>
        <w:t xml:space="preserve">Option A, Pilot now (low risk, fast value): explainable review queue prioritization. </w:t>
      </w:r>
      <w:r>
        <w:rPr>
          <w:rFonts w:ascii="Calibri" w:cs="Calibri" w:eastAsia="Calibri" w:hAnsi="Calibri"/>
          <w:sz w:val="21"/>
          <w:szCs w:val="21"/>
        </w:rPr>
        <w:t xml:space="preserve">Add a risk score with reason codes on top of existing payment integrity edits, so reviewers work the highest risk providers and claims first. Test on one client's historical claims over about 90 days. Success metric: improper dollars identified per reviewer hour.</w:t>
      </w:r>
    </w:p>
    <w:p>
      <w:pPr>
        <w:pStyle w:val="ListParagraph"/>
        <w:numPr>
          <w:ilvl w:val="0"/>
          <w:numId w:val="2"/>
        </w:numPr>
        <w:spacing w:after="40" w:line="252"/>
      </w:pPr>
      <w:r>
        <w:rPr>
          <w:rFonts w:ascii="Calibri" w:cs="Calibri" w:eastAsia="Calibri" w:hAnsi="Calibri"/>
          <w:b/>
          <w:bCs/>
          <w:sz w:val="21"/>
          <w:szCs w:val="21"/>
        </w:rPr>
        <w:t xml:space="preserve">Option B, Invest: a hybrid model with an auditor feedback loop. </w:t>
      </w:r>
      <w:r>
        <w:rPr>
          <w:rFonts w:ascii="Calibri" w:cs="Calibri" w:eastAsia="Calibri" w:hAnsi="Calibri"/>
          <w:sz w:val="21"/>
          <w:szCs w:val="21"/>
        </w:rPr>
        <w:t xml:space="preserve">Use unsupervised detection to surface new patterns and supervised models for known ones, and save every reviewer decision as a new label. Over time this builds a proprietary labeled data asset from Cotiviti's multi payer footprint that competitors cannot easily copy.</w:t>
      </w:r>
    </w:p>
    <w:p>
      <w:pPr>
        <w:pStyle w:val="ListParagraph"/>
        <w:numPr>
          <w:ilvl w:val="0"/>
          <w:numId w:val="2"/>
        </w:numPr>
        <w:spacing w:after="40" w:line="252"/>
      </w:pPr>
      <w:r>
        <w:rPr>
          <w:rFonts w:ascii="Calibri" w:cs="Calibri" w:eastAsia="Calibri" w:hAnsi="Calibri"/>
          <w:b/>
          <w:bCs/>
          <w:sz w:val="21"/>
          <w:szCs w:val="21"/>
        </w:rPr>
        <w:t xml:space="preserve">Option C, Position: compliant by design. </w:t>
      </w:r>
      <w:r>
        <w:rPr>
          <w:rFonts w:ascii="Calibri" w:cs="Calibri" w:eastAsia="Calibri" w:hAnsi="Calibri"/>
          <w:sz w:val="21"/>
          <w:szCs w:val="21"/>
        </w:rPr>
        <w:t xml:space="preserve">Make human review, reason codes, and audit trails standard for every AI flag, so clients can meet state laws and CMS model requirements. This turns regulation from a threat into a selling point.</w:t>
      </w:r>
    </w:p>
    <w:p>
      <w:pPr>
        <w:spacing w:before="60"/>
      </w:pPr>
      <w:r>
        <w:rPr>
          <w:rFonts w:ascii="Calibri" w:cs="Calibri" w:eastAsia="Calibri" w:hAnsi="Calibri"/>
          <w:b/>
          <w:bCs/>
          <w:color w:val="3B1F7A"/>
          <w:sz w:val="21"/>
          <w:szCs w:val="21"/>
        </w:rPr>
        <w:t xml:space="preserve">Recommendation: </w:t>
      </w:r>
      <w:r>
        <w:rPr>
          <w:rFonts w:ascii="Calibri" w:cs="Calibri" w:eastAsia="Calibri" w:hAnsi="Calibri"/>
          <w:sz w:val="21"/>
          <w:szCs w:val="21"/>
        </w:rPr>
        <w:t xml:space="preserve">start with Option A now, build it to capture reviewer decisions for Option B, and market Option C across both. Keep monitoring agentic AI as a reviewer copilot (summarizing records, drafting rationales) once regulatory guardrails settle.</w:t>
      </w:r>
    </w:p>
    <w:p>
      <w:pPr>
        <w:spacing w:after="50" w:before="110"/>
      </w:pPr>
      <w:r>
        <w:rPr>
          <w:rFonts w:ascii="Calibri" w:cs="Calibri" w:eastAsia="Calibri" w:hAnsi="Calibri"/>
          <w:b/>
          <w:bCs/>
          <w:color w:val="3B1F7A"/>
          <w:sz w:val="23"/>
          <w:szCs w:val="23"/>
        </w:rPr>
        <w:t xml:space="preserve">6. Next steps for the prototype</w:t>
      </w:r>
    </w:p>
    <w:p>
      <w:pPr>
        <w:pStyle w:val="ListParagraph"/>
        <w:numPr>
          <w:ilvl w:val="0"/>
          <w:numId w:val="2"/>
        </w:numPr>
        <w:spacing w:after="40" w:line="252"/>
      </w:pPr>
      <w:r>
        <w:rPr>
          <w:rFonts w:ascii="Calibri" w:cs="Calibri" w:eastAsia="Calibri" w:hAnsi="Calibri"/>
          <w:b/>
          <w:bCs/>
          <w:sz w:val="21"/>
          <w:szCs w:val="21"/>
        </w:rPr>
        <w:t xml:space="preserve">Peer groups: </w:t>
      </w:r>
      <w:r>
        <w:rPr>
          <w:rFonts w:ascii="Calibri" w:cs="Calibri" w:eastAsia="Calibri" w:hAnsi="Calibri"/>
          <w:sz w:val="21"/>
          <w:szCs w:val="21"/>
        </w:rPr>
        <w:t xml:space="preserve">score providers against others of the same specialty, region, and size to remove the size bias.</w:t>
      </w:r>
    </w:p>
    <w:p>
      <w:pPr>
        <w:pStyle w:val="ListParagraph"/>
        <w:numPr>
          <w:ilvl w:val="0"/>
          <w:numId w:val="2"/>
        </w:numPr>
        <w:spacing w:after="40" w:line="252"/>
      </w:pPr>
      <w:r>
        <w:rPr>
          <w:rFonts w:ascii="Calibri" w:cs="Calibri" w:eastAsia="Calibri" w:hAnsi="Calibri"/>
          <w:b/>
          <w:bCs/>
          <w:sz w:val="21"/>
          <w:szCs w:val="21"/>
        </w:rPr>
        <w:t xml:space="preserve">Claim level checks: </w:t>
      </w:r>
      <w:r>
        <w:rPr>
          <w:rFonts w:ascii="Calibri" w:cs="Calibri" w:eastAsia="Calibri" w:hAnsi="Calibri"/>
          <w:sz w:val="21"/>
          <w:szCs w:val="21"/>
        </w:rPr>
        <w:t xml:space="preserve">add code pair (unbundling), upcoding, and billing after date of death features, so flags happen before payment.</w:t>
      </w:r>
    </w:p>
    <w:p>
      <w:pPr>
        <w:pStyle w:val="ListParagraph"/>
        <w:numPr>
          <w:ilvl w:val="0"/>
          <w:numId w:val="2"/>
        </w:numPr>
        <w:spacing w:after="40" w:line="252"/>
      </w:pPr>
      <w:r>
        <w:rPr>
          <w:rFonts w:ascii="Calibri" w:cs="Calibri" w:eastAsia="Calibri" w:hAnsi="Calibri"/>
          <w:b/>
          <w:bCs/>
          <w:sz w:val="21"/>
          <w:szCs w:val="21"/>
        </w:rPr>
        <w:t xml:space="preserve">Stronger validation: </w:t>
      </w:r>
      <w:r>
        <w:rPr>
          <w:rFonts w:ascii="Calibri" w:cs="Calibri" w:eastAsia="Calibri" w:hAnsi="Calibri"/>
          <w:sz w:val="21"/>
          <w:szCs w:val="21"/>
        </w:rPr>
        <w:t xml:space="preserve">cross validation, tree based models, and a test on a client's real historical claims with confirmed audit outcomes.</w:t>
      </w:r>
    </w:p>
    <w:p>
      <w:r>
        <w:br w:type="page"/>
      </w:r>
    </w:p>
    <w:p>
      <w:pPr>
        <w:spacing w:after="160"/>
        <w:jc w:val="center"/>
      </w:pPr>
      <w:r>
        <w:rPr>
          <w:rFonts w:ascii="Calibri" w:cs="Calibri" w:eastAsia="Calibri" w:hAnsi="Calibri"/>
          <w:b/>
          <w:bCs/>
          <w:color w:val="3B1F7A"/>
          <w:sz w:val="26"/>
          <w:szCs w:val="26"/>
        </w:rPr>
        <w:t xml:space="preserve">References</w:t>
      </w:r>
    </w:p>
    <w:p>
      <w:pPr>
        <w:spacing w:after="140" w:line="276"/>
        <w:ind w:left="720" w:hanging="720"/>
      </w:pPr>
      <w:r>
        <w:rPr>
          <w:rFonts w:ascii="Calibri" w:cs="Calibri" w:eastAsia="Calibri" w:hAnsi="Calibri"/>
          <w:i w:val="false"/>
          <w:iCs w:val="false"/>
          <w:sz w:val="21"/>
          <w:szCs w:val="21"/>
        </w:rPr>
        <w:t xml:space="preserve">Bauder, R. A., &amp; Khoshgoftaar, T. M. (2018). </w:t>
      </w:r>
      <w:r>
        <w:rPr>
          <w:rFonts w:ascii="Calibri" w:cs="Calibri" w:eastAsia="Calibri" w:hAnsi="Calibri"/>
          <w:i/>
          <w:iCs/>
          <w:sz w:val="21"/>
          <w:szCs w:val="21"/>
        </w:rPr>
        <w:t xml:space="preserve">The detection of Medicare fraud using machine learning methods with excluded provider labels</w:t>
      </w:r>
      <w:r>
        <w:rPr>
          <w:rFonts w:ascii="Calibri" w:cs="Calibri" w:eastAsia="Calibri" w:hAnsi="Calibri"/>
          <w:i w:val="false"/>
          <w:iCs w:val="false"/>
          <w:sz w:val="21"/>
          <w:szCs w:val="21"/>
        </w:rPr>
        <w:t xml:space="preserve">. In </w:t>
      </w:r>
      <w:r>
        <w:rPr>
          <w:rFonts w:ascii="Calibri" w:cs="Calibri" w:eastAsia="Calibri" w:hAnsi="Calibri"/>
          <w:i/>
          <w:iCs/>
          <w:sz w:val="21"/>
          <w:szCs w:val="21"/>
        </w:rPr>
        <w:t xml:space="preserve">Proceedings of the Florida Artificial Intelligence Research Society Conference</w:t>
      </w:r>
      <w:r>
        <w:rPr>
          <w:rFonts w:ascii="Calibri" w:cs="Calibri" w:eastAsia="Calibri" w:hAnsi="Calibri"/>
          <w:i w:val="false"/>
          <w:iCs w:val="false"/>
          <w:sz w:val="21"/>
          <w:szCs w:val="21"/>
        </w:rPr>
        <w:t xml:space="preserve">. AAAI Press. https://cdn.aaai.org/ocs/17617/17617-77660-1-PB.pdf</w:t>
      </w:r>
    </w:p>
    <w:p>
      <w:pPr>
        <w:spacing w:after="140" w:line="276"/>
        <w:ind w:left="720" w:hanging="720"/>
      </w:pPr>
      <w:r>
        <w:rPr>
          <w:rFonts w:ascii="Calibri" w:cs="Calibri" w:eastAsia="Calibri" w:hAnsi="Calibri"/>
          <w:i w:val="false"/>
          <w:iCs w:val="false"/>
          <w:sz w:val="21"/>
          <w:szCs w:val="21"/>
        </w:rPr>
        <w:t xml:space="preserve">Becker's Payer Issues. (2026). </w:t>
      </w:r>
      <w:r>
        <w:rPr>
          <w:rFonts w:ascii="Calibri" w:cs="Calibri" w:eastAsia="Calibri" w:hAnsi="Calibri"/>
          <w:i/>
          <w:iCs/>
          <w:sz w:val="21"/>
          <w:szCs w:val="21"/>
        </w:rPr>
        <w:t xml:space="preserve">7 AI health insurance state laws passed in 2026</w:t>
      </w:r>
      <w:r>
        <w:rPr>
          <w:rFonts w:ascii="Calibri" w:cs="Calibri" w:eastAsia="Calibri" w:hAnsi="Calibri"/>
          <w:i w:val="false"/>
          <w:iCs w:val="false"/>
          <w:sz w:val="21"/>
          <w:szCs w:val="21"/>
        </w:rPr>
        <w:t xml:space="preserve">. https://www.beckerspayer.com/policy-updates/7-ai-health-insurance-state-laws-passed-in-2026/</w:t>
      </w:r>
    </w:p>
    <w:p>
      <w:pPr>
        <w:spacing w:after="140" w:line="276"/>
        <w:ind w:left="720" w:hanging="720"/>
      </w:pPr>
      <w:r>
        <w:rPr>
          <w:rFonts w:ascii="Calibri" w:cs="Calibri" w:eastAsia="Calibri" w:hAnsi="Calibri"/>
          <w:i w:val="false"/>
          <w:iCs w:val="false"/>
          <w:sz w:val="21"/>
          <w:szCs w:val="21"/>
        </w:rPr>
        <w:t xml:space="preserve">Centers for Medicare &amp; Medicaid Services. (2026a, January 15). </w:t>
      </w:r>
      <w:r>
        <w:rPr>
          <w:rFonts w:ascii="Calibri" w:cs="Calibri" w:eastAsia="Calibri" w:hAnsi="Calibri"/>
          <w:i/>
          <w:iCs/>
          <w:sz w:val="21"/>
          <w:szCs w:val="21"/>
        </w:rPr>
        <w:t xml:space="preserve">Fiscal year 2025 improper payments fact sheet</w:t>
      </w:r>
      <w:r>
        <w:rPr>
          <w:rFonts w:ascii="Calibri" w:cs="Calibri" w:eastAsia="Calibri" w:hAnsi="Calibri"/>
          <w:i w:val="false"/>
          <w:iCs w:val="false"/>
          <w:sz w:val="21"/>
          <w:szCs w:val="21"/>
        </w:rPr>
        <w:t xml:space="preserve">. https://www.cms.gov/newsroom/fact-sheets/fiscal-year-2025-improper-payments-fact-sheet</w:t>
      </w:r>
    </w:p>
    <w:p>
      <w:pPr>
        <w:spacing w:after="140" w:line="276"/>
        <w:ind w:left="720" w:hanging="720"/>
      </w:pPr>
      <w:r>
        <w:rPr>
          <w:rFonts w:ascii="Calibri" w:cs="Calibri" w:eastAsia="Calibri" w:hAnsi="Calibri"/>
          <w:i w:val="false"/>
          <w:iCs w:val="false"/>
          <w:sz w:val="21"/>
          <w:szCs w:val="21"/>
        </w:rPr>
        <w:t xml:space="preserve">Centers for Medicare &amp; Medicaid Services. (2026b). </w:t>
      </w:r>
      <w:r>
        <w:rPr>
          <w:rFonts w:ascii="Calibri" w:cs="Calibri" w:eastAsia="Calibri" w:hAnsi="Calibri"/>
          <w:i/>
          <w:iCs/>
          <w:sz w:val="21"/>
          <w:szCs w:val="21"/>
        </w:rPr>
        <w:t xml:space="preserve">WISeR (Wasteful and Inappropriate Service Reduction) Model</w:t>
      </w:r>
      <w:r>
        <w:rPr>
          <w:rFonts w:ascii="Calibri" w:cs="Calibri" w:eastAsia="Calibri" w:hAnsi="Calibri"/>
          <w:i w:val="false"/>
          <w:iCs w:val="false"/>
          <w:sz w:val="21"/>
          <w:szCs w:val="21"/>
        </w:rPr>
        <w:t xml:space="preserve">. https://www.cms.gov/priorities/innovation/innovation-models/wiser</w:t>
      </w:r>
    </w:p>
    <w:p>
      <w:pPr>
        <w:spacing w:after="140" w:line="276"/>
        <w:ind w:left="720" w:hanging="720"/>
      </w:pPr>
      <w:r>
        <w:rPr>
          <w:rFonts w:ascii="Calibri" w:cs="Calibri" w:eastAsia="Calibri" w:hAnsi="Calibri"/>
          <w:i w:val="false"/>
          <w:iCs w:val="false"/>
          <w:sz w:val="21"/>
          <w:szCs w:val="21"/>
        </w:rPr>
        <w:t xml:space="preserve">Cotiviti. (2026, August 4). </w:t>
      </w:r>
      <w:r>
        <w:rPr>
          <w:rFonts w:ascii="Calibri" w:cs="Calibri" w:eastAsia="Calibri" w:hAnsi="Calibri"/>
          <w:i/>
          <w:iCs/>
          <w:sz w:val="21"/>
          <w:szCs w:val="21"/>
        </w:rPr>
        <w:t xml:space="preserve">Cotiviti launches enhanced Dental Claim Accuracy solution on market leading Payment Policy Management platform</w:t>
      </w:r>
      <w:r>
        <w:rPr>
          <w:rFonts w:ascii="Calibri" w:cs="Calibri" w:eastAsia="Calibri" w:hAnsi="Calibri"/>
          <w:i w:val="false"/>
          <w:iCs w:val="false"/>
          <w:sz w:val="21"/>
          <w:szCs w:val="21"/>
        </w:rPr>
        <w:t xml:space="preserve"> [Press release]. Business Wire. https://www.businesswire.com/news/home/20260804345268/en/</w:t>
      </w:r>
    </w:p>
    <w:p>
      <w:pPr>
        <w:spacing w:after="140" w:line="276"/>
        <w:ind w:left="720" w:hanging="720"/>
      </w:pPr>
      <w:r>
        <w:rPr>
          <w:rFonts w:ascii="Calibri" w:cs="Calibri" w:eastAsia="Calibri" w:hAnsi="Calibri"/>
          <w:i w:val="false"/>
          <w:iCs w:val="false"/>
          <w:sz w:val="21"/>
          <w:szCs w:val="21"/>
        </w:rPr>
        <w:t xml:space="preserve">DLA Piper. (2026, January). </w:t>
      </w:r>
      <w:r>
        <w:rPr>
          <w:rFonts w:ascii="Calibri" w:cs="Calibri" w:eastAsia="Calibri" w:hAnsi="Calibri"/>
          <w:i/>
          <w:iCs/>
          <w:sz w:val="21"/>
          <w:szCs w:val="21"/>
        </w:rPr>
        <w:t xml:space="preserve">CMS launches WISeR Model: What providers need to know</w:t>
      </w:r>
      <w:r>
        <w:rPr>
          <w:rFonts w:ascii="Calibri" w:cs="Calibri" w:eastAsia="Calibri" w:hAnsi="Calibri"/>
          <w:i w:val="false"/>
          <w:iCs w:val="false"/>
          <w:sz w:val="21"/>
          <w:szCs w:val="21"/>
        </w:rPr>
        <w:t xml:space="preserve">. https://www.dlapiper.com/en/insights/publications/2026/01/cms-wiser-model</w:t>
      </w:r>
    </w:p>
    <w:p>
      <w:pPr>
        <w:spacing w:after="140" w:line="276"/>
        <w:ind w:left="720" w:hanging="720"/>
      </w:pPr>
      <w:r>
        <w:rPr>
          <w:rFonts w:ascii="Calibri" w:cs="Calibri" w:eastAsia="Calibri" w:hAnsi="Calibri"/>
          <w:i w:val="false"/>
          <w:iCs w:val="false"/>
          <w:sz w:val="21"/>
          <w:szCs w:val="21"/>
        </w:rPr>
        <w:t xml:space="preserve">Gupta, R. A. (2019). </w:t>
      </w:r>
      <w:r>
        <w:rPr>
          <w:rFonts w:ascii="Calibri" w:cs="Calibri" w:eastAsia="Calibri" w:hAnsi="Calibri"/>
          <w:i/>
          <w:iCs/>
          <w:sz w:val="21"/>
          <w:szCs w:val="21"/>
        </w:rPr>
        <w:t xml:space="preserve">Healthcare provider fraud detection analysis</w:t>
      </w:r>
      <w:r>
        <w:rPr>
          <w:rFonts w:ascii="Calibri" w:cs="Calibri" w:eastAsia="Calibri" w:hAnsi="Calibri"/>
          <w:i w:val="false"/>
          <w:iCs w:val="false"/>
          <w:sz w:val="21"/>
          <w:szCs w:val="21"/>
        </w:rPr>
        <w:t xml:space="preserve"> [Data set]. Kaggle. https://www.kaggle.com/datasets/rohitrox/healthcare-provider-fraud-detection-analysis</w:t>
      </w:r>
    </w:p>
    <w:p>
      <w:pPr>
        <w:spacing w:after="140" w:line="276"/>
        <w:ind w:left="720" w:hanging="720"/>
      </w:pPr>
      <w:r>
        <w:rPr>
          <w:rFonts w:ascii="Calibri" w:cs="Calibri" w:eastAsia="Calibri" w:hAnsi="Calibri"/>
          <w:i w:val="false"/>
          <w:iCs w:val="false"/>
          <w:sz w:val="21"/>
          <w:szCs w:val="21"/>
        </w:rPr>
        <w:t xml:space="preserve">Kansas Legislative Research Department. (2026, March 2). </w:t>
      </w:r>
      <w:r>
        <w:rPr>
          <w:rFonts w:ascii="Calibri" w:cs="Calibri" w:eastAsia="Calibri" w:hAnsi="Calibri"/>
          <w:i/>
          <w:iCs/>
          <w:sz w:val="21"/>
          <w:szCs w:val="21"/>
        </w:rPr>
        <w:t xml:space="preserve">Briefing book 2026: Artificial intelligence use in health insurance</w:t>
      </w:r>
      <w:r>
        <w:rPr>
          <w:rFonts w:ascii="Calibri" w:cs="Calibri" w:eastAsia="Calibri" w:hAnsi="Calibri"/>
          <w:i w:val="false"/>
          <w:iCs w:val="false"/>
          <w:sz w:val="21"/>
          <w:szCs w:val="21"/>
        </w:rPr>
        <w:t xml:space="preserve">. https://klrd.gov/2026/03/02/briefing-book-2026-artificial-intelligence-use-in-health-insurance/</w:t>
      </w:r>
    </w:p>
    <w:p>
      <w:pPr>
        <w:spacing w:after="80" w:before="240"/>
      </w:pPr>
      <w:r>
        <w:rPr>
          <w:rFonts w:ascii="Calibri" w:cs="Calibri" w:eastAsia="Calibri" w:hAnsi="Calibri"/>
          <w:b/>
          <w:bCs/>
          <w:color w:val="3B1F7A"/>
          <w:sz w:val="22"/>
          <w:szCs w:val="22"/>
        </w:rPr>
        <w:t xml:space="preserve">Methods and tools</w:t>
      </w:r>
    </w:p>
    <w:p>
      <w:pPr>
        <w:spacing w:line="276"/>
      </w:pPr>
      <w:r>
        <w:rPr>
          <w:rFonts w:ascii="Calibri" w:cs="Calibri" w:eastAsia="Calibri" w:hAnsi="Calibri"/>
          <w:sz w:val="21"/>
          <w:szCs w:val="21"/>
        </w:rPr>
        <w:t xml:space="preserve">Analysis was done in Python (pandas, SQLite, scikit-learn, scipy, matplotlib, seaborn) in a Jupyter notebook included in the repository. Methods: SQL aggregation to provider profiles, Mann Whitney U tests, z score rules, Isolation Forest, and Logistic Regression with a stratified 80/20 train and test split. An AI assistant (Claude, Anthropic) was used to help with research and drafting; all analysis was run and checked by the author.</w:t>
      </w:r>
    </w:p>
    <w:sectPr>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2026-09-28T22:46:15.109Z</dcterms:created>
  <dcterms:modified xsi:type="dcterms:W3CDTF">2026-09-28T22:46:15.109Z</dcterms:modified>
</cp:coreProperties>
</file>

<file path=docProps/custom.xml><?xml version="1.0" encoding="utf-8"?>
<Properties xmlns="http://schemas.openxmlformats.org/officeDocument/2006/custom-properties" xmlns:vt="http://schemas.openxmlformats.org/officeDocument/2006/docPropsVTypes"/>
</file>