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Manual de Arquitetura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Sistema CITO — Ferramenta de Pré-diagnóstico da Síndrome do X Frágil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Documento técnico de arquitetura de software. Descreve a organização do sistema CITO em suas três camadas físicas, a arquitetura hexagonal interna do back-end, a arquitetura do front-end (derivada da análise do código-fonte), o modelo de dados e as decisões de projeto que sustentam a solução.</w:t>
      </w:r>
    </w:p>
    <w:p>
      <w:pPr>
        <w:spacing w:after="160"/>
        <w:ind w:left="864" w:right="864"/>
        <w:jc w:val="center"/>
      </w:pPr>
      <w:r>
        <w:rPr>
          <w:rFonts w:ascii="Consolas" w:hAnsi="Consolas"/>
          <w:color w:val="8A8A8A"/>
          <w:sz w:val="18"/>
        </w:rPr>
        <w:t>Versão do back-end: 0.1.0 · Versão do front-end: v2.1.4 · Banco: PostgreSQL 17.6 (Supabase)</w:t>
      </w:r>
    </w:p>
    <w:p>
      <w:r>
        <w:br w:type="page"/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Introdução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CITO é uma ferramenta de </w:t>
      </w:r>
      <w:r>
        <w:rPr>
          <w:rFonts w:ascii="Calibri" w:hAnsi="Calibri"/>
          <w:b/>
          <w:color w:val="0A0A0A"/>
          <w:sz w:val="21"/>
        </w:rPr>
        <w:t>pré-diagnóstico (triagem)</w:t>
      </w:r>
      <w:r>
        <w:rPr>
          <w:rFonts w:ascii="Calibri" w:hAnsi="Calibri"/>
          <w:b w:val="0"/>
          <w:i w:val="0"/>
          <w:color w:val="0A0A0A"/>
          <w:sz w:val="21"/>
        </w:rPr>
        <w:t xml:space="preserve"> da Síndrome do X Frágil (SXF; em inglês, </w:t>
      </w:r>
      <w:r>
        <w:rPr>
          <w:rFonts w:ascii="Calibri" w:hAnsi="Calibri"/>
          <w:i/>
          <w:color w:val="0A0A0A"/>
          <w:sz w:val="21"/>
        </w:rPr>
        <w:t>Fragile X Syndrome</w:t>
      </w:r>
      <w:r>
        <w:rPr>
          <w:rFonts w:ascii="Calibri" w:hAnsi="Calibri"/>
          <w:b w:val="0"/>
          <w:i w:val="0"/>
          <w:color w:val="0A0A0A"/>
          <w:sz w:val="21"/>
        </w:rPr>
        <w:t xml:space="preserve">, FXS) destinada ao uso clínico. O sistema apoia o profissional de saúde no cadastro de pacientes, na aplicação de um checklist de sintomas com escore validado cientificamente, no encaminhamento automático para o teste genético do gene FMR1, na gestão de agenda e na emissão de relatórios. A proteção de dados pessoais sensíveis, em conformidade com a </w:t>
      </w:r>
      <w:r>
        <w:rPr>
          <w:rFonts w:ascii="Calibri" w:hAnsi="Calibri"/>
          <w:b/>
          <w:color w:val="0A0A0A"/>
          <w:sz w:val="21"/>
        </w:rPr>
        <w:t>Lei Geral de Proteção de Dados (LGPD)</w:t>
      </w:r>
      <w:r>
        <w:rPr>
          <w:rFonts w:ascii="Calibri" w:hAnsi="Calibri"/>
          <w:b w:val="0"/>
          <w:i w:val="0"/>
          <w:color w:val="0A0A0A"/>
          <w:sz w:val="21"/>
        </w:rPr>
        <w:t>, é um requisito de primeira ordem que permeia toda a pilha.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É importante delimitar o escopo clínico: o CITO </w:t>
      </w:r>
      <w:r>
        <w:rPr>
          <w:rFonts w:ascii="Calibri" w:hAnsi="Calibri"/>
          <w:b/>
          <w:color w:val="0A0A0A"/>
          <w:sz w:val="21"/>
        </w:rPr>
        <w:t>não realiza diagnóstico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diagnóstico definitivo da SXF é molecular (teste do gene FMR1). O sistema produz uma </w:t>
      </w:r>
      <w:r>
        <w:rPr>
          <w:rFonts w:ascii="Calibri" w:hAnsi="Calibri"/>
          <w:b/>
          <w:color w:val="0A0A0A"/>
          <w:sz w:val="21"/>
        </w:rPr>
        <w:t>recomendação de encaminhamento</w:t>
      </w:r>
      <w:r>
        <w:rPr>
          <w:rFonts w:ascii="Calibri" w:hAnsi="Calibri"/>
          <w:b w:val="0"/>
          <w:i w:val="0"/>
          <w:color w:val="0A0A0A"/>
          <w:sz w:val="21"/>
        </w:rPr>
        <w:t xml:space="preserve"> ao exame genético quando o escore de triagem ultrapassa um limiar calibrado por sexo. Por isso, o desfecho central do sistema é o indicador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>, e não um veredito diagnóstico.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1.1 Objetivo deste documento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Este manual descreve </w:t>
      </w:r>
      <w:r>
        <w:rPr>
          <w:rFonts w:ascii="Calibri" w:hAnsi="Calibri"/>
          <w:b/>
          <w:color w:val="0A0A0A"/>
          <w:sz w:val="21"/>
        </w:rPr>
        <w:t>como o sistema é projetado</w:t>
      </w:r>
      <w:r>
        <w:rPr>
          <w:rFonts w:ascii="Calibri" w:hAnsi="Calibri"/>
          <w:b w:val="0"/>
          <w:i w:val="0"/>
          <w:color w:val="0A0A0A"/>
          <w:sz w:val="21"/>
        </w:rPr>
        <w:t xml:space="preserve">: o particionamento em camadas, o raciocínio por trás das decisões de projeto, a forma de interação entre front-end e back-end, e onde residem as responsabilidades importantes no código. A documentação de arquitetura do back-end já existia no repositório, organizada como um cofre Obsidian em </w:t>
      </w:r>
      <w:r>
        <w:rPr>
          <w:rFonts w:ascii="Consolas" w:hAnsi="Consolas"/>
          <w:color w:val="1F1F1F"/>
          <w:sz w:val="19"/>
          <w:shd w:val="clear" w:color="auto" w:fill="F4F4F4"/>
        </w:rPr>
        <w:t>docs/software architecture/</w:t>
      </w:r>
      <w:r>
        <w:rPr>
          <w:rFonts w:ascii="Calibri" w:hAnsi="Calibri"/>
          <w:b w:val="0"/>
          <w:i w:val="0"/>
          <w:color w:val="0A0A0A"/>
          <w:sz w:val="21"/>
        </w:rPr>
        <w:t xml:space="preserve">, e serviu de fonte primária para os capítulos do back-end. O front-end não possuía documentação dedicada; sua arquitetura foi derivada da leitura direta do código-fonte em </w:t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1.2 Fontes da verdade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conteúdo deste documento foi sintetizado e verificado contra os artefatos reais do repositório. Em caso de divergência, o código-fonte prevalece. As fontes consultadas foram: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app/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código-fonte do back-end (FastAPI, arquitetura hexagonal).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código-fonte do front-end (React via CDN, sem empacotador).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docs/software architecture/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cofre Obsidian de arquitetura do back-end.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docs/spec/SPEC.md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especificação de integração front-back-banco.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docs/database_report.md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modelo_logico.md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modelo de dados do PostgreSQL.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Visão geral em três camadas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Sob a perspectiva de implantação, o CITO é um sistema </w:t>
      </w:r>
      <w:r>
        <w:rPr>
          <w:rFonts w:ascii="Calibri" w:hAnsi="Calibri"/>
          <w:b/>
          <w:color w:val="0A0A0A"/>
          <w:sz w:val="21"/>
        </w:rPr>
        <w:t>três camadas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alibri" w:hAnsi="Calibri"/>
          <w:i/>
          <w:color w:val="0A0A0A"/>
          <w:sz w:val="21"/>
        </w:rPr>
        <w:t>three-tier</w:t>
      </w:r>
      <w:r>
        <w:rPr>
          <w:rFonts w:ascii="Calibri" w:hAnsi="Calibri"/>
          <w:b w:val="0"/>
          <w:i w:val="0"/>
          <w:color w:val="0A0A0A"/>
          <w:sz w:val="21"/>
        </w:rPr>
        <w:t>): um front-end de apresentação, um back-end de aplicação e um banco de dados. A comunicação entre as camadas é estrita e unidirecional do cliente em direção ao dado.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+-------------------------------------------------------------+</w:t>
        <w:br/>
        <w:t>|  FRONT-END  (React via CDN, sem empacotador)                |</w:t>
        <w:br/>
        <w:t>|  Paginas: Login, Dashboard, Pacientes, Triagem, Agenda,     |</w:t>
        <w:br/>
        <w:t>|           Configuracoes, Usuarios                           |</w:t>
        <w:br/>
        <w:t>|  Conversa SOMENTE via frontend/src/api/client.js (Bearer)   |</w:t>
        <w:br/>
        <w:t>+----------------------------+--------------------------------+</w:t>
        <w:br/>
        <w:t xml:space="preserve">                             |  HTTPS / JSON</w:t>
        <w:br/>
        <w:t xml:space="preserve">                             v</w:t>
        <w:br/>
        <w:t>+-------------------------------------------------------------+</w:t>
        <w:br/>
        <w:t>|  BACK-END  (FastAPI, hexagonal/ports &amp; adapters)            |</w:t>
        <w:br/>
        <w:t>|  presentation -&gt; application -&gt; domain &lt;- interfaces        |</w:t>
        <w:br/>
        <w:t>+----------------------------+--------------------------------+</w:t>
        <w:br/>
        <w:t xml:space="preserve">                             |  SQLAlchemy async + asyncpg</w:t>
        <w:br/>
        <w:t xml:space="preserve">                             v</w:t>
        <w:br/>
        <w:t>+-------------------------------------------------------------+</w:t>
        <w:br/>
        <w:t>|  BANCO  (PostgreSQL 17.6 + pgcrypto + pg_trgm)              |</w:t>
        <w:br/>
        <w:t>|  Tabelas tb_* cifradas (BYTEA) -&gt; VIEWS logicas (decifram)  |</w:t>
        <w:br/>
        <w:t>|  Logica de escore: fn_calcular_score_triagem()             |</w:t>
        <w:br/>
        <w:t>+-------------------------------------------------------------+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Duas regras estruturais governam essa topologia: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O front-end conversa exclusivamente com a API.</w:t>
      </w:r>
      <w:r>
        <w:rPr>
          <w:rFonts w:ascii="Calibri" w:hAnsi="Calibri"/>
          <w:b w:val="0"/>
          <w:i w:val="0"/>
          <w:color w:val="0A0A0A"/>
          <w:sz w:val="21"/>
        </w:rPr>
        <w:t xml:space="preserve"> Não há mais acesso direto ao banco a partir do navegador. Toda a comunicação passa por um único módulo de rede (</w:t>
      </w:r>
      <w:r>
        <w:rPr>
          <w:rFonts w:ascii="Consolas" w:hAnsi="Consolas"/>
          <w:color w:val="1F1F1F"/>
          <w:sz w:val="19"/>
          <w:shd w:val="clear" w:color="auto" w:fill="F4F4F4"/>
        </w:rPr>
        <w:t>frontend/src/api/client.js</w:t>
      </w:r>
      <w:r>
        <w:rPr>
          <w:rFonts w:ascii="Calibri" w:hAnsi="Calibri"/>
          <w:b w:val="0"/>
          <w:i w:val="0"/>
          <w:color w:val="0A0A0A"/>
          <w:sz w:val="21"/>
        </w:rPr>
        <w:t>). Esta é a decisão de arquitetura ADR-0001.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O back-end acessa o banco somente pelas views lógicas.</w:t>
      </w:r>
      <w:r>
        <w:rPr>
          <w:rFonts w:ascii="Calibri" w:hAnsi="Calibri"/>
          <w:b w:val="0"/>
          <w:i w:val="0"/>
          <w:color w:val="0A0A0A"/>
          <w:sz w:val="21"/>
        </w:rPr>
        <w:t xml:space="preserve"> Os repositórios nunca leem ou escrevem nas tabelas físicas </w:t>
      </w:r>
      <w:r>
        <w:rPr>
          <w:rFonts w:ascii="Consolas" w:hAnsi="Consolas"/>
          <w:color w:val="1F1F1F"/>
          <w:sz w:val="19"/>
          <w:shd w:val="clear" w:color="auto" w:fill="F4F4F4"/>
        </w:rPr>
        <w:t>tb_*</w:t>
      </w:r>
      <w:r>
        <w:rPr>
          <w:rFonts w:ascii="Calibri" w:hAnsi="Calibri"/>
          <w:b w:val="0"/>
          <w:i w:val="0"/>
          <w:color w:val="0A0A0A"/>
          <w:sz w:val="21"/>
        </w:rPr>
        <w:t xml:space="preserve"> diretamente. As views cifram e decifram dados sensíveis de forma transparente, por meio de gatilhos (</w:t>
      </w:r>
      <w:r>
        <w:rPr>
          <w:rFonts w:ascii="Calibri" w:hAnsi="Calibri"/>
          <w:i/>
          <w:color w:val="0A0A0A"/>
          <w:sz w:val="21"/>
        </w:rPr>
        <w:t>triggers</w:t>
      </w:r>
      <w:r>
        <w:rPr>
          <w:rFonts w:ascii="Calibri" w:hAnsi="Calibri"/>
          <w:b w:val="0"/>
          <w:i w:val="0"/>
          <w:color w:val="0A0A0A"/>
          <w:sz w:val="21"/>
        </w:rPr>
        <w:t>) e da função de descriptografia por sessão.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2.1 Pilha tecnológica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119"/>
        <w:gridCol w:w="7240"/>
      </w:tblGrid>
      <w:tr>
        <w:trPr>
          <w:tblHeader/>
          <w:cantSplit/>
        </w:trPr>
        <w:tc>
          <w:tcPr>
            <w:tcW w:type="dxa" w:w="211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724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Tecnologia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Front-end</w:t>
            </w:r>
          </w:p>
        </w:tc>
        <w:tc>
          <w:tcPr>
            <w:tcW w:type="dxa" w:w="7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React 18.3 (UMD via CDN), Babel Standalone (transpilação JSX no navegador), Tailwind CSS (Play CDN), jsPDF (geração de laudo), fontes Geist</w:t>
            </w:r>
          </w:p>
        </w:tc>
      </w:tr>
      <w:tr>
        <w:trPr>
          <w:cantSplit/>
        </w:trPr>
        <w:tc>
          <w:tcPr>
            <w:tcW w:type="dxa" w:w="211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Framework web</w:t>
            </w:r>
          </w:p>
        </w:tc>
        <w:tc>
          <w:tcPr>
            <w:tcW w:type="dxa" w:w="7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FastAPI (≥ 0.115)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Validação / serialização</w:t>
            </w:r>
          </w:p>
        </w:tc>
        <w:tc>
          <w:tcPr>
            <w:tcW w:type="dxa" w:w="7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Pydantic v2 + pydantic-settings</w:t>
            </w:r>
          </w:p>
        </w:tc>
      </w:tr>
      <w:tr>
        <w:trPr>
          <w:cantSplit/>
        </w:trPr>
        <w:tc>
          <w:tcPr>
            <w:tcW w:type="dxa" w:w="211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ORM / driver</w:t>
            </w:r>
          </w:p>
        </w:tc>
        <w:tc>
          <w:tcPr>
            <w:tcW w:type="dxa" w:w="7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SQLAlchemy 2.0 (modo assíncrono) + asyncpg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Banco de dados</w:t>
            </w:r>
          </w:p>
        </w:tc>
        <w:tc>
          <w:tcPr>
            <w:tcW w:type="dxa" w:w="7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PostgreSQL 17.6 (Supabase) + extensões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pgcrypto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pg_trgm</w:t>
            </w:r>
          </w:p>
        </w:tc>
      </w:tr>
      <w:tr>
        <w:trPr>
          <w:cantSplit/>
        </w:trPr>
        <w:tc>
          <w:tcPr>
            <w:tcW w:type="dxa" w:w="211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Autenticação</w:t>
            </w:r>
          </w:p>
        </w:tc>
        <w:tc>
          <w:tcPr>
            <w:tcW w:type="dxa" w:w="7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JWT HS256 implementado com a biblioteca padrão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hmac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+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hashlib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Formulários</w:t>
            </w:r>
          </w:p>
        </w:tc>
        <w:tc>
          <w:tcPr>
            <w:tcW w:type="dxa" w:w="7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python-multipart (login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application/x-www-form-urlencoded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11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Servidor de aplicação</w:t>
            </w:r>
          </w:p>
        </w:tc>
        <w:tc>
          <w:tcPr>
            <w:tcW w:type="dxa" w:w="7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Uvicorn (desenvolvimento) / Gunicorn (produção)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Arquitetura do back-end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back-end (</w:t>
      </w:r>
      <w:r>
        <w:rPr>
          <w:rFonts w:ascii="Consolas" w:hAnsi="Consolas"/>
          <w:color w:val="1F1F1F"/>
          <w:sz w:val="19"/>
          <w:shd w:val="clear" w:color="auto" w:fill="F4F4F4"/>
        </w:rPr>
        <w:t>app/</w:t>
      </w:r>
      <w:r>
        <w:rPr>
          <w:rFonts w:ascii="Calibri" w:hAnsi="Calibri"/>
          <w:b w:val="0"/>
          <w:i w:val="0"/>
          <w:color w:val="0A0A0A"/>
          <w:sz w:val="21"/>
        </w:rPr>
        <w:t xml:space="preserve">) adota uma versão </w:t>
      </w:r>
      <w:r>
        <w:rPr>
          <w:rFonts w:ascii="Calibri" w:hAnsi="Calibri"/>
          <w:b/>
          <w:color w:val="0A0A0A"/>
          <w:sz w:val="21"/>
        </w:rPr>
        <w:t>pragmática</w:t>
      </w:r>
      <w:r>
        <w:rPr>
          <w:rFonts w:ascii="Calibri" w:hAnsi="Calibri"/>
          <w:b w:val="0"/>
          <w:i w:val="0"/>
          <w:color w:val="0A0A0A"/>
          <w:sz w:val="21"/>
        </w:rPr>
        <w:t xml:space="preserve"> da arquitetura </w:t>
      </w:r>
      <w:r>
        <w:rPr>
          <w:rFonts w:ascii="Calibri" w:hAnsi="Calibri"/>
          <w:b/>
          <w:color w:val="0A0A0A"/>
          <w:sz w:val="21"/>
        </w:rPr>
        <w:t>hexagonal</w:t>
      </w:r>
      <w:r>
        <w:rPr>
          <w:rFonts w:ascii="Calibri" w:hAnsi="Calibri"/>
          <w:b w:val="0"/>
          <w:i w:val="0"/>
          <w:color w:val="0A0A0A"/>
          <w:sz w:val="21"/>
        </w:rPr>
        <w:t xml:space="preserve"> (também conhecida como </w:t>
      </w:r>
      <w:r>
        <w:rPr>
          <w:rFonts w:ascii="Calibri" w:hAnsi="Calibri"/>
          <w:i/>
          <w:color w:val="0A0A0A"/>
          <w:sz w:val="21"/>
        </w:rPr>
        <w:t>ports &amp; adapters</w:t>
      </w:r>
      <w:r>
        <w:rPr>
          <w:rFonts w:ascii="Calibri" w:hAnsi="Calibri"/>
          <w:b w:val="0"/>
          <w:i w:val="0"/>
          <w:color w:val="0A0A0A"/>
          <w:sz w:val="21"/>
        </w:rPr>
        <w:t>, de Alistair Cockburn). O objetivo do padrão é isolar a lógica de negócio das tecnologias de entrada e de saída (web, banco), de modo que o núcleo de domínio não dependa de detalhes de infraestrutura.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3.1 A regra de dependência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dependência aponta </w:t>
      </w:r>
      <w:r>
        <w:rPr>
          <w:rFonts w:ascii="Calibri" w:hAnsi="Calibri"/>
          <w:b/>
          <w:color w:val="0A0A0A"/>
          <w:sz w:val="21"/>
        </w:rPr>
        <w:t>sempre para o centro</w:t>
      </w:r>
      <w:r>
        <w:rPr>
          <w:rFonts w:ascii="Calibri" w:hAnsi="Calibri"/>
          <w:b w:val="0"/>
          <w:i w:val="0"/>
          <w:color w:val="0A0A0A"/>
          <w:sz w:val="21"/>
        </w:rPr>
        <w:t xml:space="preserve"> (domínio). Código de camadas externas pode depender de camadas internas; o contrário é proibido. Nada no domínio sabe que existe HTTP ou SQL.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presentation ---&gt; application ---&gt; domain &lt;--- interfaces</w:t>
        <w:br/>
        <w:t xml:space="preserve">     |                 |                          ^</w:t>
        <w:br/>
        <w:t xml:space="preserve">     +-----------------+--- tudo costurado em ----+</w:t>
        <w:br/>
        <w:t xml:space="preserve">                          app/main.py (composition root)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069"/>
        <w:gridCol w:w="3152"/>
        <w:gridCol w:w="4138"/>
      </w:tblGrid>
      <w:tr>
        <w:trPr>
          <w:tblHeader/>
          <w:cantSplit/>
        </w:trPr>
        <w:tc>
          <w:tcPr>
            <w:tcW w:type="dxa" w:w="206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315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PODE importar de</w:t>
            </w:r>
          </w:p>
        </w:tc>
        <w:tc>
          <w:tcPr>
            <w:tcW w:type="dxa" w:w="413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NÃO PODE importar de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presentation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application, interfaces, domain, core, db</w:t>
            </w:r>
          </w:p>
        </w:tc>
        <w:tc>
          <w:tcPr>
            <w:tcW w:type="dxa" w:w="413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069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application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domain, interfaces (adapters), core</w:t>
            </w:r>
          </w:p>
        </w:tc>
        <w:tc>
          <w:tcPr>
            <w:tcW w:type="dxa" w:w="413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presentation, fastapi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domain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apenas stdlib + pydantic</w:t>
            </w:r>
          </w:p>
        </w:tc>
        <w:tc>
          <w:tcPr>
            <w:tcW w:type="dxa" w:w="413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presentation, application, interfaces, sqlalchemy, fastapi</w:t>
            </w:r>
          </w:p>
        </w:tc>
      </w:tr>
      <w:tr>
        <w:trPr>
          <w:cantSplit/>
        </w:trPr>
        <w:tc>
          <w:tcPr>
            <w:tcW w:type="dxa" w:w="2069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interfaces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domain, application (DTOs), core, db</w:t>
            </w:r>
          </w:p>
        </w:tc>
        <w:tc>
          <w:tcPr>
            <w:tcW w:type="dxa" w:w="413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presentation, fastapi (exceto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dependencies.py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único arquivo autorizado a importar de todas as camadas é a raiz de composição, </w:t>
      </w: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3.2 As quatro camadas lógicas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Camada de apresentação (</w:t>
      </w:r>
      <w:r>
        <w:rPr>
          <w:rFonts w:ascii="Consolas" w:hAnsi="Consolas"/>
          <w:color w:val="1F1F1F"/>
          <w:sz w:val="21"/>
          <w:shd w:val="clear" w:color="auto" w:fill="F4F4F4"/>
        </w:rPr>
        <w:t>presentation/</w:t>
      </w:r>
      <w:r>
        <w:rPr>
          <w:rFonts w:ascii="Calibri" w:hAnsi="Calibri"/>
          <w:b/>
          <w:i w:val="0"/>
          <w:color w:val="1F1F1F"/>
          <w:sz w:val="23"/>
        </w:rPr>
        <w:t>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É a borda HTTP — a única camada que conhece o FastAPI. Suas responsabilidades são receber requisições, validar payloads, chamar o caso de uso adequado, formatar a resposta e aplicar o mascaramento de dados pessoais. Subdivide-se em: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routers/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define os endpoints. Cada router declara um </w:t>
      </w:r>
      <w:r>
        <w:rPr>
          <w:rFonts w:ascii="Consolas" w:hAnsi="Consolas"/>
          <w:color w:val="1F1F1F"/>
          <w:sz w:val="19"/>
          <w:shd w:val="clear" w:color="auto" w:fill="F4F4F4"/>
        </w:rPr>
        <w:t>APIRouter</w:t>
      </w:r>
      <w:r>
        <w:rPr>
          <w:rFonts w:ascii="Calibri" w:hAnsi="Calibri"/>
          <w:b w:val="0"/>
          <w:i w:val="0"/>
          <w:color w:val="0A0A0A"/>
          <w:sz w:val="21"/>
        </w:rPr>
        <w:t xml:space="preserve"> e é incluído em </w:t>
      </w:r>
      <w:r>
        <w:rPr>
          <w:rFonts w:ascii="Consolas" w:hAnsi="Consolas"/>
          <w:color w:val="1F1F1F"/>
          <w:sz w:val="19"/>
          <w:shd w:val="clear" w:color="auto" w:fill="F4F4F4"/>
        </w:rPr>
        <w:t>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sob o prefixo </w:t>
      </w:r>
      <w:r>
        <w:rPr>
          <w:rFonts w:ascii="Consolas" w:hAnsi="Consolas"/>
          <w:color w:val="1F1F1F"/>
          <w:sz w:val="19"/>
          <w:shd w:val="clear" w:color="auto" w:fill="F4F4F4"/>
        </w:rPr>
        <w:t>/api/v1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schemas/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contratos Pydantic de requisição e resposta. Quase todos usam </w:t>
      </w:r>
      <w:r>
        <w:rPr>
          <w:rFonts w:ascii="Consolas" w:hAnsi="Consolas"/>
          <w:color w:val="1F1F1F"/>
          <w:sz w:val="19"/>
          <w:shd w:val="clear" w:color="auto" w:fill="F4F4F4"/>
        </w:rPr>
        <w:t>extra="forbid"</w:t>
      </w:r>
      <w:r>
        <w:rPr>
          <w:rFonts w:ascii="Calibri" w:hAnsi="Calibri"/>
          <w:b w:val="0"/>
          <w:i w:val="0"/>
          <w:color w:val="0A0A0A"/>
          <w:sz w:val="21"/>
        </w:rPr>
        <w:t>, fazendo qualquer campo inesperado falhar a validação — isso trava o contrato com o front-end e detecta divergências cedo.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masking.py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utilitários de mascaramento de dados pessoais (</w:t>
      </w:r>
      <w:r>
        <w:rPr>
          <w:rFonts w:ascii="Consolas" w:hAnsi="Consolas"/>
          <w:color w:val="1F1F1F"/>
          <w:sz w:val="19"/>
          <w:shd w:val="clear" w:color="auto" w:fill="F4F4F4"/>
        </w:rPr>
        <w:t>CPF_MASK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mask_name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Camada de aplicação (</w:t>
      </w:r>
      <w:r>
        <w:rPr>
          <w:rFonts w:ascii="Consolas" w:hAnsi="Consolas"/>
          <w:color w:val="1F1F1F"/>
          <w:sz w:val="21"/>
          <w:shd w:val="clear" w:color="auto" w:fill="F4F4F4"/>
        </w:rPr>
        <w:t>application/</w:t>
      </w:r>
      <w:r>
        <w:rPr>
          <w:rFonts w:ascii="Calibri" w:hAnsi="Calibri"/>
          <w:b/>
          <w:i w:val="0"/>
          <w:color w:val="1F1F1F"/>
          <w:sz w:val="23"/>
        </w:rPr>
        <w:t>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Orquestra as regras de negócio. Cada caso de uso é uma classe com um método </w:t>
      </w:r>
      <w:r>
        <w:rPr>
          <w:rFonts w:ascii="Consolas" w:hAnsi="Consolas"/>
          <w:color w:val="1F1F1F"/>
          <w:sz w:val="19"/>
          <w:shd w:val="clear" w:color="auto" w:fill="F4F4F4"/>
        </w:rPr>
        <w:t>execute()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camada é </w:t>
      </w:r>
      <w:r>
        <w:rPr>
          <w:rFonts w:ascii="Calibri" w:hAnsi="Calibri"/>
          <w:b/>
          <w:color w:val="0A0A0A"/>
          <w:sz w:val="21"/>
        </w:rPr>
        <w:t>cega a HTTP</w:t>
      </w:r>
      <w:r>
        <w:rPr>
          <w:rFonts w:ascii="Calibri" w:hAnsi="Calibri"/>
          <w:b w:val="0"/>
          <w:i w:val="0"/>
          <w:color w:val="0A0A0A"/>
          <w:sz w:val="21"/>
        </w:rPr>
        <w:t xml:space="preserve"> (lança exceções de domínio, nunca </w:t>
      </w:r>
      <w:r>
        <w:rPr>
          <w:rFonts w:ascii="Consolas" w:hAnsi="Consolas"/>
          <w:color w:val="1F1F1F"/>
          <w:sz w:val="19"/>
          <w:shd w:val="clear" w:color="auto" w:fill="F4F4F4"/>
        </w:rPr>
        <w:t>HTTPException</w:t>
      </w:r>
      <w:r>
        <w:rPr>
          <w:rFonts w:ascii="Calibri" w:hAnsi="Calibri"/>
          <w:b w:val="0"/>
          <w:i w:val="0"/>
          <w:color w:val="0A0A0A"/>
          <w:sz w:val="21"/>
        </w:rPr>
        <w:t xml:space="preserve">) e, em sua maioria, </w:t>
      </w:r>
      <w:r>
        <w:rPr>
          <w:rFonts w:ascii="Calibri" w:hAnsi="Calibri"/>
          <w:b/>
          <w:color w:val="0A0A0A"/>
          <w:sz w:val="21"/>
        </w:rPr>
        <w:t>cega a SQL</w:t>
      </w:r>
      <w:r>
        <w:rPr>
          <w:rFonts w:ascii="Calibri" w:hAnsi="Calibri"/>
          <w:b w:val="0"/>
          <w:i w:val="0"/>
          <w:color w:val="0A0A0A"/>
          <w:sz w:val="21"/>
        </w:rPr>
        <w:t xml:space="preserve"> (delega aos repositórios). Recebe suas dependências por construtor, em injeção explícita, sem </w:t>
      </w:r>
      <w:r>
        <w:rPr>
          <w:rFonts w:ascii="Calibri" w:hAnsi="Calibri"/>
          <w:i/>
          <w:color w:val="0A0A0A"/>
          <w:sz w:val="21"/>
        </w:rPr>
        <w:t>service locator</w:t>
      </w:r>
      <w:r>
        <w:rPr>
          <w:rFonts w:ascii="Calibri" w:hAnsi="Calibri"/>
          <w:b w:val="0"/>
          <w:i w:val="0"/>
          <w:color w:val="0A0A0A"/>
          <w:sz w:val="21"/>
        </w:rPr>
        <w:t xml:space="preserve">. Subdivide-se em </w:t>
      </w:r>
      <w:r>
        <w:rPr>
          <w:rFonts w:ascii="Consolas" w:hAnsi="Consolas"/>
          <w:color w:val="1F1F1F"/>
          <w:sz w:val="19"/>
          <w:shd w:val="clear" w:color="auto" w:fill="F4F4F4"/>
        </w:rPr>
        <w:t>use_cases/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dtos/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Camada de domínio (</w:t>
      </w:r>
      <w:r>
        <w:rPr>
          <w:rFonts w:ascii="Consolas" w:hAnsi="Consolas"/>
          <w:color w:val="1F1F1F"/>
          <w:sz w:val="21"/>
          <w:shd w:val="clear" w:color="auto" w:fill="F4F4F4"/>
        </w:rPr>
        <w:t>domain/</w:t>
      </w:r>
      <w:r>
        <w:rPr>
          <w:rFonts w:ascii="Calibri" w:hAnsi="Calibri"/>
          <w:b/>
          <w:i w:val="0"/>
          <w:color w:val="1F1F1F"/>
          <w:sz w:val="23"/>
        </w:rPr>
        <w:t>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É o núcleo puro: representa os conceitos e as invariantes do negócio sem nenhuma dependência de infraestrutura. Não há </w:t>
      </w:r>
      <w:r>
        <w:rPr>
          <w:rFonts w:ascii="Consolas" w:hAnsi="Consolas"/>
          <w:color w:val="1F1F1F"/>
          <w:sz w:val="19"/>
          <w:shd w:val="clear" w:color="auto" w:fill="F4F4F4"/>
        </w:rPr>
        <w:t>import fastapi</w:t>
      </w:r>
      <w:r>
        <w:rPr>
          <w:rFonts w:ascii="Calibri" w:hAnsi="Calibri"/>
          <w:b w:val="0"/>
          <w:i w:val="0"/>
          <w:color w:val="0A0A0A"/>
          <w:sz w:val="21"/>
        </w:rPr>
        <w:t xml:space="preserve"> nem </w:t>
      </w:r>
      <w:r>
        <w:rPr>
          <w:rFonts w:ascii="Consolas" w:hAnsi="Consolas"/>
          <w:color w:val="1F1F1F"/>
          <w:sz w:val="19"/>
          <w:shd w:val="clear" w:color="auto" w:fill="F4F4F4"/>
        </w:rPr>
        <w:t>import sqlalchemy</w:t>
      </w:r>
      <w:r>
        <w:rPr>
          <w:rFonts w:ascii="Calibri" w:hAnsi="Calibri"/>
          <w:b w:val="0"/>
          <w:i w:val="0"/>
          <w:color w:val="0A0A0A"/>
          <w:sz w:val="21"/>
        </w:rPr>
        <w:t xml:space="preserve"> aqui. Contém entidades (</w:t>
      </w:r>
      <w:r>
        <w:rPr>
          <w:rFonts w:ascii="Consolas" w:hAnsi="Consolas"/>
          <w:color w:val="1F1F1F"/>
          <w:sz w:val="19"/>
          <w:shd w:val="clear" w:color="auto" w:fill="F4F4F4"/>
        </w:rPr>
        <w:t>Patient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Acompanhante</w:t>
      </w:r>
      <w:r>
        <w:rPr>
          <w:rFonts w:ascii="Calibri" w:hAnsi="Calibri"/>
          <w:b w:val="0"/>
          <w:i w:val="0"/>
          <w:color w:val="0A0A0A"/>
          <w:sz w:val="21"/>
        </w:rPr>
        <w:t>), objetos de valor (</w:t>
      </w:r>
      <w:r>
        <w:rPr>
          <w:rFonts w:ascii="Consolas" w:hAnsi="Consolas"/>
          <w:color w:val="1F1F1F"/>
          <w:sz w:val="19"/>
          <w:shd w:val="clear" w:color="auto" w:fill="F4F4F4"/>
        </w:rPr>
        <w:t>CPF</w:t>
      </w:r>
      <w:r>
        <w:rPr>
          <w:rFonts w:ascii="Calibri" w:hAnsi="Calibri"/>
          <w:b w:val="0"/>
          <w:i w:val="0"/>
          <w:color w:val="0A0A0A"/>
          <w:sz w:val="21"/>
        </w:rPr>
        <w:t>), serviços de domínio (</w:t>
      </w:r>
      <w:r>
        <w:rPr>
          <w:rFonts w:ascii="Consolas" w:hAnsi="Consolas"/>
          <w:color w:val="1F1F1F"/>
          <w:sz w:val="19"/>
          <w:shd w:val="clear" w:color="auto" w:fill="F4F4F4"/>
        </w:rPr>
        <w:t>SymptomScoringOrchestrator</w:t>
      </w:r>
      <w:r>
        <w:rPr>
          <w:rFonts w:ascii="Calibri" w:hAnsi="Calibri"/>
          <w:b w:val="0"/>
          <w:i w:val="0"/>
          <w:color w:val="0A0A0A"/>
          <w:sz w:val="21"/>
        </w:rPr>
        <w:t>) e a hierarquia de exceções.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Camada de interfaces (</w:t>
      </w:r>
      <w:r>
        <w:rPr>
          <w:rFonts w:ascii="Consolas" w:hAnsi="Consolas"/>
          <w:color w:val="1F1F1F"/>
          <w:sz w:val="21"/>
          <w:shd w:val="clear" w:color="auto" w:fill="F4F4F4"/>
        </w:rPr>
        <w:t>interfaces/</w:t>
      </w:r>
      <w:r>
        <w:rPr>
          <w:rFonts w:ascii="Calibri" w:hAnsi="Calibri"/>
          <w:b/>
          <w:i w:val="0"/>
          <w:color w:val="1F1F1F"/>
          <w:sz w:val="23"/>
        </w:rPr>
        <w:t>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São os adaptadores. Aqui reside o </w:t>
      </w:r>
      <w:r>
        <w:rPr>
          <w:rFonts w:ascii="Calibri" w:hAnsi="Calibri"/>
          <w:b/>
          <w:color w:val="0A0A0A"/>
          <w:sz w:val="21"/>
        </w:rPr>
        <w:t>SQL bruto</w:t>
      </w:r>
      <w:r>
        <w:rPr>
          <w:rFonts w:ascii="Calibri" w:hAnsi="Calibri"/>
          <w:b w:val="0"/>
          <w:i w:val="0"/>
          <w:color w:val="0A0A0A"/>
          <w:sz w:val="21"/>
        </w:rPr>
        <w:t xml:space="preserve">, escrito via </w:t>
      </w:r>
      <w:r>
        <w:rPr>
          <w:rFonts w:ascii="Consolas" w:hAnsi="Consolas"/>
          <w:color w:val="1F1F1F"/>
          <w:sz w:val="19"/>
          <w:shd w:val="clear" w:color="auto" w:fill="F4F4F4"/>
        </w:rPr>
        <w:t>sqlalchemy.text()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parâmetros nomeados, sempre contra as views do banco. Também abriga o adaptador de entrada de autenticação (</w:t>
      </w:r>
      <w:r>
        <w:rPr>
          <w:rFonts w:ascii="Consolas" w:hAnsi="Consolas"/>
          <w:color w:val="1F1F1F"/>
          <w:sz w:val="19"/>
          <w:shd w:val="clear" w:color="auto" w:fill="F4F4F4"/>
        </w:rPr>
        <w:t>api/dependencies.py</w:t>
      </w:r>
      <w:r>
        <w:rPr>
          <w:rFonts w:ascii="Calibri" w:hAnsi="Calibri"/>
          <w:b w:val="0"/>
          <w:i w:val="0"/>
          <w:color w:val="0A0A0A"/>
          <w:sz w:val="21"/>
        </w:rPr>
        <w:t>), que valida o JWT e devolve a identidade do médico.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3.3 Camadas de apoio transversais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782"/>
        <w:gridCol w:w="7577"/>
      </w:tblGrid>
      <w:tr>
        <w:trPr>
          <w:tblHeader/>
          <w:cantSplit/>
        </w:trPr>
        <w:tc>
          <w:tcPr>
            <w:tcW w:type="dxa" w:w="178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Pasta</w:t>
            </w:r>
          </w:p>
        </w:tc>
        <w:tc>
          <w:tcPr>
            <w:tcW w:type="dxa" w:w="757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Papel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core/</w:t>
            </w:r>
          </w:p>
        </w:tc>
        <w:tc>
          <w:tcPr>
            <w:tcW w:type="dxa" w:w="757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Configuração tipada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config.py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), JWT HS256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security.py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 e hierarquia de exceções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exceptions.py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782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db/</w:t>
            </w:r>
          </w:p>
        </w:tc>
        <w:tc>
          <w:tcPr>
            <w:tcW w:type="dxa" w:w="757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Engine assíncrona, fábrica de sessões e injeção da chave PGP por sessão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database.py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services/</w:t>
            </w:r>
          </w:p>
        </w:tc>
        <w:tc>
          <w:tcPr>
            <w:tcW w:type="dxa" w:w="757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AuthService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— sessões, tentativas de login e autenticação, com SQL direto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3.4 Ports &amp; Adapters na prática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CITO segue fielmente parte do padrão: o domínio é puro; os casos de uso são cegos a HTTP; os adaptadores de saída encapsulam todo o SQL; e o adaptador de entrada (router) apenas traduz HTTP para chamada de caso de uso.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Há, porém, um desvio consciente em relação ao "hexágono de manual": os casos de uso dependem </w:t>
      </w:r>
      <w:r>
        <w:rPr>
          <w:rFonts w:ascii="Calibri" w:hAnsi="Calibri"/>
          <w:b/>
          <w:color w:val="0A0A0A"/>
          <w:sz w:val="21"/>
        </w:rPr>
        <w:t>diretamente das classes concretas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</w:t>
      </w:r>
      <w:r>
        <w:rPr>
          <w:rFonts w:ascii="Consolas" w:hAnsi="Consolas"/>
          <w:color w:val="1F1F1F"/>
          <w:sz w:val="19"/>
          <w:shd w:val="clear" w:color="auto" w:fill="F4F4F4"/>
        </w:rPr>
        <w:t>interfaces/repositories/</w:t>
      </w:r>
      <w:r>
        <w:rPr>
          <w:rFonts w:ascii="Calibri" w:hAnsi="Calibri"/>
          <w:b w:val="0"/>
          <w:i w:val="0"/>
          <w:color w:val="0A0A0A"/>
          <w:sz w:val="21"/>
        </w:rPr>
        <w:t>, e não de interfaces abstratas (</w:t>
      </w:r>
      <w:r>
        <w:rPr>
          <w:rFonts w:ascii="Calibri" w:hAnsi="Calibri"/>
          <w:i/>
          <w:color w:val="0A0A0A"/>
          <w:sz w:val="21"/>
        </w:rPr>
        <w:t>ports</w:t>
      </w:r>
      <w:r>
        <w:rPr>
          <w:rFonts w:ascii="Calibri" w:hAnsi="Calibri"/>
          <w:b w:val="0"/>
          <w:i w:val="0"/>
          <w:color w:val="0A0A0A"/>
          <w:sz w:val="21"/>
        </w:rPr>
        <w:t xml:space="preserve">). Essa escolha é mais simples e direta para o porte do projeto, mas tem como consequência que os protocolos definidos em </w:t>
      </w:r>
      <w:r>
        <w:rPr>
          <w:rFonts w:ascii="Consolas" w:hAnsi="Consolas"/>
          <w:color w:val="1F1F1F"/>
          <w:sz w:val="19"/>
          <w:shd w:val="clear" w:color="auto" w:fill="F4F4F4"/>
        </w:rPr>
        <w:t>domain/ports/</w:t>
      </w:r>
      <w:r>
        <w:rPr>
          <w:rFonts w:ascii="Calibri" w:hAnsi="Calibri"/>
          <w:b w:val="0"/>
          <w:i w:val="0"/>
          <w:color w:val="0A0A0A"/>
          <w:sz w:val="21"/>
        </w:rPr>
        <w:t xml:space="preserve"> ficaram </w:t>
      </w:r>
      <w:r>
        <w:rPr>
          <w:rFonts w:ascii="Calibri" w:hAnsi="Calibri"/>
          <w:b/>
          <w:color w:val="0A0A0A"/>
          <w:sz w:val="21"/>
        </w:rPr>
        <w:t>órfãos</w:t>
      </w:r>
      <w:r>
        <w:rPr>
          <w:rFonts w:ascii="Calibri" w:hAnsi="Calibri"/>
          <w:b w:val="0"/>
          <w:i w:val="0"/>
          <w:color w:val="0A0A0A"/>
          <w:sz w:val="21"/>
        </w:rPr>
        <w:t xml:space="preserve">. Esse ponto se conecta à distinção entre núcleo ativo e </w:t>
      </w:r>
      <w:r>
        <w:rPr>
          <w:rFonts w:ascii="Calibri" w:hAnsi="Calibri"/>
          <w:i/>
          <w:color w:val="0A0A0A"/>
          <w:sz w:val="21"/>
        </w:rPr>
        <w:t>scaffolding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legado, tratada na seção 5.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3.5 A raiz de composição (</w:t>
      </w:r>
      <w:r>
        <w:rPr>
          <w:rFonts w:ascii="Consolas" w:hAnsi="Consolas"/>
          <w:color w:val="1F1F1F"/>
          <w:sz w:val="25"/>
          <w:shd w:val="clear" w:color="auto" w:fill="F4F4F4"/>
        </w:rPr>
        <w:t>app/main.py</w:t>
      </w:r>
      <w:r>
        <w:rPr>
          <w:rFonts w:ascii="Calibri" w:hAnsi="Calibri"/>
          <w:b/>
          <w:i w:val="0"/>
          <w:color w:val="0A0A0A"/>
          <w:sz w:val="27"/>
        </w:rPr>
        <w:t>)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cria o objeto FastAPI por meio de </w:t>
      </w:r>
      <w:r>
        <w:rPr>
          <w:rFonts w:ascii="Consolas" w:hAnsi="Consolas"/>
          <w:color w:val="1F1F1F"/>
          <w:sz w:val="19"/>
          <w:shd w:val="clear" w:color="auto" w:fill="F4F4F4"/>
        </w:rPr>
        <w:t>create_app()</w:t>
      </w:r>
      <w:r>
        <w:rPr>
          <w:rFonts w:ascii="Calibri" w:hAnsi="Calibri"/>
          <w:b w:val="0"/>
          <w:i w:val="0"/>
          <w:color w:val="0A0A0A"/>
          <w:sz w:val="21"/>
        </w:rPr>
        <w:t xml:space="preserve">. Em ordem, a função: carrega a configuração tipada; instancia o app (com documentação interativa em </w:t>
      </w:r>
      <w:r>
        <w:rPr>
          <w:rFonts w:ascii="Consolas" w:hAnsi="Consolas"/>
          <w:color w:val="1F1F1F"/>
          <w:sz w:val="19"/>
          <w:shd w:val="clear" w:color="auto" w:fill="F4F4F4"/>
        </w:rPr>
        <w:t>/api/v1/docs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/api/v1/redoc</w:t>
      </w:r>
      <w:r>
        <w:rPr>
          <w:rFonts w:ascii="Calibri" w:hAnsi="Calibri"/>
          <w:b w:val="0"/>
          <w:i w:val="0"/>
          <w:color w:val="0A0A0A"/>
          <w:sz w:val="21"/>
        </w:rPr>
        <w:t xml:space="preserve">); registra o middleware de CORS quando há origens configuradas; registra os </w:t>
      </w:r>
      <w:r>
        <w:rPr>
          <w:rFonts w:ascii="Calibri" w:hAnsi="Calibri"/>
          <w:i/>
          <w:color w:val="0A0A0A"/>
          <w:sz w:val="21"/>
        </w:rPr>
        <w:t>exception handlers</w:t>
      </w:r>
      <w:r>
        <w:rPr>
          <w:rFonts w:ascii="Calibri" w:hAnsi="Calibri"/>
          <w:b w:val="0"/>
          <w:i w:val="0"/>
          <w:color w:val="0A0A0A"/>
          <w:sz w:val="21"/>
        </w:rPr>
        <w:t xml:space="preserve"> que traduzem exceções de domínio em respostas HTTP no formato RFC 7807 (</w:t>
      </w:r>
      <w:r>
        <w:rPr>
          <w:rFonts w:ascii="Calibri" w:hAnsi="Calibri"/>
          <w:i/>
          <w:color w:val="0A0A0A"/>
          <w:sz w:val="21"/>
        </w:rPr>
        <w:t>Problem Details</w:t>
      </w:r>
      <w:r>
        <w:rPr>
          <w:rFonts w:ascii="Calibri" w:hAnsi="Calibri"/>
          <w:b w:val="0"/>
          <w:i w:val="0"/>
          <w:color w:val="0A0A0A"/>
          <w:sz w:val="21"/>
        </w:rPr>
        <w:t xml:space="preserve">); inclui os nove routers sob o prefixo </w:t>
      </w:r>
      <w:r>
        <w:rPr>
          <w:rFonts w:ascii="Consolas" w:hAnsi="Consolas"/>
          <w:color w:val="1F1F1F"/>
          <w:sz w:val="19"/>
          <w:shd w:val="clear" w:color="auto" w:fill="F4F4F4"/>
        </w:rPr>
        <w:t>/api/v1</w:t>
      </w:r>
      <w:r>
        <w:rPr>
          <w:rFonts w:ascii="Calibri" w:hAnsi="Calibri"/>
          <w:b w:val="0"/>
          <w:i w:val="0"/>
          <w:color w:val="0A0A0A"/>
          <w:sz w:val="21"/>
        </w:rPr>
        <w:t xml:space="preserve">; e expõe um </w:t>
      </w:r>
      <w:r>
        <w:rPr>
          <w:rFonts w:ascii="Calibri" w:hAnsi="Calibri"/>
          <w:i/>
          <w:color w:val="0A0A0A"/>
          <w:sz w:val="21"/>
        </w:rPr>
        <w:t>probe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saúde em </w:t>
      </w:r>
      <w:r>
        <w:rPr>
          <w:rFonts w:ascii="Consolas" w:hAnsi="Consolas"/>
          <w:color w:val="1F1F1F"/>
          <w:sz w:val="19"/>
          <w:shd w:val="clear" w:color="auto" w:fill="F4F4F4"/>
        </w:rPr>
        <w:t>GET /health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Vale destacar um aspecto de implantação presente no código atual: quando a pasta </w:t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 xml:space="preserve"> existe ao lado de </w:t>
      </w:r>
      <w:r>
        <w:rPr>
          <w:rFonts w:ascii="Consolas" w:hAnsi="Consolas"/>
          <w:color w:val="1F1F1F"/>
          <w:sz w:val="19"/>
          <w:shd w:val="clear" w:color="auto" w:fill="F4F4F4"/>
        </w:rPr>
        <w:t>app/</w:t>
      </w:r>
      <w:r>
        <w:rPr>
          <w:rFonts w:ascii="Calibri" w:hAnsi="Calibri"/>
          <w:b w:val="0"/>
          <w:i w:val="0"/>
          <w:color w:val="0A0A0A"/>
          <w:sz w:val="21"/>
        </w:rPr>
        <w:t xml:space="preserve">, o próprio FastAPI </w:t>
      </w:r>
      <w:r>
        <w:rPr>
          <w:rFonts w:ascii="Calibri" w:hAnsi="Calibri"/>
          <w:b/>
          <w:color w:val="0A0A0A"/>
          <w:sz w:val="21"/>
        </w:rPr>
        <w:t>serve o front-end estático</w:t>
      </w:r>
      <w:r>
        <w:rPr>
          <w:rFonts w:ascii="Calibri" w:hAnsi="Calibri"/>
          <w:b w:val="0"/>
          <w:i w:val="0"/>
          <w:color w:val="0A0A0A"/>
          <w:sz w:val="21"/>
        </w:rPr>
        <w:t xml:space="preserve">. Uma rota raiz devolve 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 xml:space="preserve"> e uma rota </w:t>
      </w:r>
      <w:r>
        <w:rPr>
          <w:rFonts w:ascii="Calibri" w:hAnsi="Calibri"/>
          <w:i/>
          <w:color w:val="0A0A0A"/>
          <w:sz w:val="21"/>
        </w:rPr>
        <w:t>catch-all</w:t>
      </w:r>
      <w:r>
        <w:rPr>
          <w:rFonts w:ascii="Calibri" w:hAnsi="Calibri"/>
          <w:b w:val="0"/>
          <w:i w:val="0"/>
          <w:color w:val="0A0A0A"/>
          <w:sz w:val="21"/>
        </w:rPr>
        <w:t xml:space="preserve"> devolve o arquivo solicitado (CSS/JS) ou, na ausência dele, 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>. Esse arranjo permite implantar back-end e front-end como uma única aplicação no Azure App Service, servidos da mesma origem (o que dispensa o CORS nesse cenário).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montagem dos casos de uso com seus repositórios não ocorre em </w:t>
      </w:r>
      <w:r>
        <w:rPr>
          <w:rFonts w:ascii="Consolas" w:hAnsi="Consolas"/>
          <w:color w:val="1F1F1F"/>
          <w:sz w:val="19"/>
          <w:shd w:val="clear" w:color="auto" w:fill="F4F4F4"/>
        </w:rPr>
        <w:t>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, e sim </w:t>
      </w:r>
      <w:r>
        <w:rPr>
          <w:rFonts w:ascii="Calibri" w:hAnsi="Calibri"/>
          <w:b/>
          <w:color w:val="0A0A0A"/>
          <w:sz w:val="21"/>
        </w:rPr>
        <w:t>dentro de cada router</w:t>
      </w:r>
      <w:r>
        <w:rPr>
          <w:rFonts w:ascii="Calibri" w:hAnsi="Calibri"/>
          <w:b w:val="0"/>
          <w:i w:val="0"/>
          <w:color w:val="0A0A0A"/>
          <w:sz w:val="21"/>
        </w:rPr>
        <w:t xml:space="preserve">, por meio de uma fábrica que recebe a </w:t>
      </w:r>
      <w:r>
        <w:rPr>
          <w:rFonts w:ascii="Consolas" w:hAnsi="Consolas"/>
          <w:color w:val="1F1F1F"/>
          <w:sz w:val="19"/>
          <w:shd w:val="clear" w:color="auto" w:fill="F4F4F4"/>
        </w:rPr>
        <w:t>AsyncSession</w:t>
      </w:r>
      <w:r>
        <w:rPr>
          <w:rFonts w:ascii="Calibri" w:hAnsi="Calibri"/>
          <w:b w:val="0"/>
          <w:i w:val="0"/>
          <w:color w:val="0A0A0A"/>
          <w:sz w:val="21"/>
        </w:rPr>
        <w:t xml:space="preserve"> da requisição. Exemplo, do router de anamnese: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def _build_use_case(session: AsyncSession) -&gt; SubmitAnamnesisUseCase:</w:t>
        <w:br/>
        <w:t xml:space="preserve">    return SubmitAnamnesisUseCase(</w:t>
        <w:br/>
        <w:t xml:space="preserve">        avaliacoes=AvaliacaoRepository(session),</w:t>
        <w:br/>
        <w:t xml:space="preserve">        checklist=ChecklistRepository(session),</w:t>
        <w:br/>
        <w:t xml:space="preserve">        historico=HistoricoFamiliarRepository(session),</w:t>
        <w:br/>
        <w:t xml:space="preserve">        scoring=SymptomScoringOrchestrator(),</w:t>
        <w:br/>
        <w:t xml:space="preserve">        encaminhamentos=EncaminhamentoRepository(session),</w:t>
        <w:br/>
        <w:t xml:space="preserve">        audit=AuditRepository(session),</w:t>
        <w:br/>
        <w:t xml:space="preserve">    )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3.6 Tradução de erros (RFC 7807)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regra "o domínio nunca lança </w:t>
      </w:r>
      <w:r>
        <w:rPr>
          <w:rFonts w:ascii="Consolas" w:hAnsi="Consolas"/>
          <w:color w:val="1F1F1F"/>
          <w:sz w:val="19"/>
          <w:shd w:val="clear" w:color="auto" w:fill="F4F4F4"/>
        </w:rPr>
        <w:t>HTTPException</w:t>
      </w:r>
      <w:r>
        <w:rPr>
          <w:rFonts w:ascii="Calibri" w:hAnsi="Calibri"/>
          <w:b w:val="0"/>
          <w:i w:val="0"/>
          <w:color w:val="0A0A0A"/>
          <w:sz w:val="21"/>
        </w:rPr>
        <w:t xml:space="preserve">" se materializa nos </w:t>
      </w:r>
      <w:r>
        <w:rPr>
          <w:rFonts w:ascii="Calibri" w:hAnsi="Calibri"/>
          <w:i/>
          <w:color w:val="0A0A0A"/>
          <w:sz w:val="21"/>
        </w:rPr>
        <w:t>exception handlers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</w:t>
      </w:r>
      <w:r>
        <w:rPr>
          <w:rFonts w:ascii="Consolas" w:hAnsi="Consolas"/>
          <w:color w:val="1F1F1F"/>
          <w:sz w:val="19"/>
          <w:shd w:val="clear" w:color="auto" w:fill="F4F4F4"/>
        </w:rPr>
        <w:t>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. Cada exceção da hierarquia de </w:t>
      </w:r>
      <w:r>
        <w:rPr>
          <w:rFonts w:ascii="Consolas" w:hAnsi="Consolas"/>
          <w:color w:val="1F1F1F"/>
          <w:sz w:val="19"/>
          <w:shd w:val="clear" w:color="auto" w:fill="F4F4F4"/>
        </w:rPr>
        <w:t>core/exceptions.py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vira uma resposta JSON padronizada </w:t>
      </w:r>
      <w:r>
        <w:rPr>
          <w:rFonts w:ascii="Consolas" w:hAnsi="Consolas"/>
          <w:color w:val="1F1F1F"/>
          <w:sz w:val="19"/>
          <w:shd w:val="clear" w:color="auto" w:fill="F4F4F4"/>
        </w:rPr>
        <w:t>{"type", "title", "detail"}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974"/>
        <w:gridCol w:w="769"/>
        <w:gridCol w:w="4615"/>
      </w:tblGrid>
      <w:tr>
        <w:trPr>
          <w:tblHeader/>
          <w:cantSplit/>
        </w:trPr>
        <w:tc>
          <w:tcPr>
            <w:tcW w:type="dxa" w:w="397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Exceção de domínio</w:t>
            </w:r>
          </w:p>
        </w:tc>
        <w:tc>
          <w:tcPr>
            <w:tcW w:type="dxa" w:w="76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461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397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NotFoundError</w:t>
            </w:r>
          </w:p>
        </w:tc>
        <w:tc>
          <w:tcPr>
            <w:tcW w:type="dxa" w:w="76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404</w:t>
            </w:r>
          </w:p>
        </w:tc>
        <w:tc>
          <w:tcPr>
            <w:tcW w:type="dxa" w:w="461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Recurso não existe</w:t>
            </w:r>
          </w:p>
        </w:tc>
      </w:tr>
      <w:tr>
        <w:trPr>
          <w:cantSplit/>
        </w:trPr>
        <w:tc>
          <w:tcPr>
            <w:tcW w:type="dxa" w:w="397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ConflictError</w:t>
            </w:r>
          </w:p>
        </w:tc>
        <w:tc>
          <w:tcPr>
            <w:tcW w:type="dxa" w:w="76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409</w:t>
            </w:r>
          </w:p>
        </w:tc>
        <w:tc>
          <w:tcPr>
            <w:tcW w:type="dxa" w:w="461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Recurso já existe</w:t>
            </w:r>
          </w:p>
        </w:tc>
      </w:tr>
      <w:tr>
        <w:trPr>
          <w:cantSplit/>
        </w:trPr>
        <w:tc>
          <w:tcPr>
            <w:tcW w:type="dxa" w:w="397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AuthenticationError</w:t>
            </w:r>
          </w:p>
        </w:tc>
        <w:tc>
          <w:tcPr>
            <w:tcW w:type="dxa" w:w="76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401</w:t>
            </w:r>
          </w:p>
        </w:tc>
        <w:tc>
          <w:tcPr>
            <w:tcW w:type="dxa" w:w="461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 autenticado</w:t>
            </w:r>
          </w:p>
        </w:tc>
      </w:tr>
      <w:tr>
        <w:trPr>
          <w:cantSplit/>
        </w:trPr>
        <w:tc>
          <w:tcPr>
            <w:tcW w:type="dxa" w:w="397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AuthorizationError</w:t>
            </w:r>
          </w:p>
        </w:tc>
        <w:tc>
          <w:tcPr>
            <w:tcW w:type="dxa" w:w="76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403</w:t>
            </w:r>
          </w:p>
        </w:tc>
        <w:tc>
          <w:tcPr>
            <w:tcW w:type="dxa" w:w="461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Sem permissão</w:t>
            </w:r>
          </w:p>
        </w:tc>
      </w:tr>
      <w:tr>
        <w:trPr>
          <w:cantSplit/>
        </w:trPr>
        <w:tc>
          <w:tcPr>
            <w:tcW w:type="dxa" w:w="397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LGPDComplianceError</w:t>
            </w:r>
          </w:p>
        </w:tc>
        <w:tc>
          <w:tcPr>
            <w:tcW w:type="dxa" w:w="76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422</w:t>
            </w:r>
          </w:p>
        </w:tc>
        <w:tc>
          <w:tcPr>
            <w:tcW w:type="dxa" w:w="461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Violação de privacidade (k-anonimato)</w:t>
            </w:r>
          </w:p>
        </w:tc>
      </w:tr>
      <w:tr>
        <w:trPr>
          <w:cantSplit/>
        </w:trPr>
        <w:tc>
          <w:tcPr>
            <w:tcW w:type="dxa" w:w="397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DomainError</w:t>
            </w:r>
          </w:p>
        </w:tc>
        <w:tc>
          <w:tcPr>
            <w:tcW w:type="dxa" w:w="76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422</w:t>
            </w:r>
          </w:p>
        </w:tc>
        <w:tc>
          <w:tcPr>
            <w:tcW w:type="dxa" w:w="461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Regra de negócio violada</w:t>
            </w:r>
          </w:p>
        </w:tc>
      </w:tr>
      <w:tr>
        <w:trPr>
          <w:cantSplit/>
        </w:trPr>
        <w:tc>
          <w:tcPr>
            <w:tcW w:type="dxa" w:w="397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SXFpError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(base)</w:t>
            </w:r>
          </w:p>
        </w:tc>
        <w:tc>
          <w:tcPr>
            <w:tcW w:type="dxa" w:w="76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500</w:t>
            </w:r>
          </w:p>
        </w:tc>
        <w:tc>
          <w:tcPr>
            <w:tcW w:type="dxa" w:w="461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Erro interno (detalhe genérico, não vaza </w:t>
            </w:r>
            <w:r>
              <w:rPr>
                <w:rFonts w:ascii="Calibri" w:hAnsi="Calibri"/>
                <w:i/>
                <w:color w:val="0A0A0A"/>
                <w:sz w:val="19"/>
              </w:rPr>
              <w:t>stack trace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Onde mora cada responsabilidade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tabela a seguir orienta a navegação pelo código, indicando onde cada responsabilidade crítica é implementada.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28"/>
        <w:gridCol w:w="6331"/>
      </w:tblGrid>
      <w:tr>
        <w:trPr>
          <w:tblHeader/>
          <w:cantSplit/>
        </w:trPr>
        <w:tc>
          <w:tcPr>
            <w:tcW w:type="dxa" w:w="302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Responsabilidade</w:t>
            </w:r>
          </w:p>
        </w:tc>
        <w:tc>
          <w:tcPr>
            <w:tcW w:type="dxa" w:w="633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Onde vive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Autenticação / emissão e verificação de JWT</w:t>
            </w:r>
          </w:p>
        </w:tc>
        <w:tc>
          <w:tcPr>
            <w:tcW w:type="dxa" w:w="6331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core/security.py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+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services/auth_service.py</w:t>
            </w:r>
          </w:p>
        </w:tc>
      </w:tr>
      <w:tr>
        <w:trPr>
          <w:cantSplit/>
        </w:trPr>
        <w:tc>
          <w:tcPr>
            <w:tcW w:type="dxa" w:w="302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Cálculo do escore</w:t>
            </w:r>
          </w:p>
        </w:tc>
        <w:tc>
          <w:tcPr>
            <w:tcW w:type="dxa" w:w="633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banco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fn_calcular_score_triagem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Orquestração clínica da triagem</w:t>
            </w:r>
          </w:p>
        </w:tc>
        <w:tc>
          <w:tcPr>
            <w:tcW w:type="dxa" w:w="6331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application/use_cases/submit_anamnesis.py</w:t>
            </w:r>
          </w:p>
        </w:tc>
      </w:tr>
      <w:tr>
        <w:trPr>
          <w:cantSplit/>
        </w:trPr>
        <w:tc>
          <w:tcPr>
            <w:tcW w:type="dxa" w:w="302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Cifragem de dados pessoais</w:t>
            </w:r>
          </w:p>
        </w:tc>
        <w:tc>
          <w:tcPr>
            <w:tcW w:type="dxa" w:w="633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Banco (pgcrypto, triggers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INSTEAD OF INSERT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Mascaramento de dados pessoais na borda</w:t>
            </w:r>
          </w:p>
        </w:tc>
        <w:tc>
          <w:tcPr>
            <w:tcW w:type="dxa" w:w="6331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presentation/api/v1/masking.py</w:t>
            </w:r>
          </w:p>
        </w:tc>
      </w:tr>
      <w:tr>
        <w:trPr>
          <w:cantSplit/>
        </w:trPr>
        <w:tc>
          <w:tcPr>
            <w:tcW w:type="dxa" w:w="302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Guarda de k-anonimato (LGPD)</w:t>
            </w:r>
          </w:p>
        </w:tc>
        <w:tc>
          <w:tcPr>
            <w:tcW w:type="dxa" w:w="6331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application/use_cases/get_dashboard_stats.py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Injeção da chave PGP por sessão</w:t>
            </w:r>
          </w:p>
        </w:tc>
        <w:tc>
          <w:tcPr>
            <w:tcW w:type="dxa" w:w="6331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db/database.py</w:t>
            </w:r>
          </w:p>
        </w:tc>
      </w:tr>
      <w:tr>
        <w:trPr>
          <w:cantSplit/>
        </w:trPr>
        <w:tc>
          <w:tcPr>
            <w:tcW w:type="dxa" w:w="302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Guarda de autenticação das rotas</w:t>
            </w:r>
          </w:p>
        </w:tc>
        <w:tc>
          <w:tcPr>
            <w:tcW w:type="dxa" w:w="6331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interfaces/api/dependencies.py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Um ponto de arquitetura merece destaque: </w:t>
      </w:r>
      <w:r>
        <w:rPr>
          <w:rFonts w:ascii="Calibri" w:hAnsi="Calibri"/>
          <w:b/>
          <w:color w:val="0A0A0A"/>
          <w:sz w:val="21"/>
        </w:rPr>
        <w:t>a regra de negócio mais importante — o cálculo do escore — não está em Python, e sim no banco de dados</w:t>
      </w:r>
      <w:r>
        <w:rPr>
          <w:rFonts w:ascii="Calibri" w:hAnsi="Calibri"/>
          <w:b w:val="0"/>
          <w:i w:val="0"/>
          <w:color w:val="0A0A0A"/>
          <w:sz w:val="21"/>
        </w:rPr>
        <w:t xml:space="preserve">, na função </w:t>
      </w:r>
      <w:r>
        <w:rPr>
          <w:rFonts w:ascii="Consolas" w:hAnsi="Consolas"/>
          <w:color w:val="1F1F1F"/>
          <w:sz w:val="19"/>
          <w:shd w:val="clear" w:color="auto" w:fill="F4F4F4"/>
        </w:rPr>
        <w:t>fn_calcular_score_triagem</w:t>
      </w:r>
      <w:r>
        <w:rPr>
          <w:rFonts w:ascii="Calibri" w:hAnsi="Calibri"/>
          <w:b w:val="0"/>
          <w:i w:val="0"/>
          <w:color w:val="0A0A0A"/>
          <w:sz w:val="21"/>
        </w:rPr>
        <w:t>. O back-end não duplica a fórmula; ele apenas a invoca e lê o resultado. As implicações dessa decisão são detalhadas na seção 7.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Núcleo ativo versus scaffolding legado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Um aspecto explicitamente documentado no cofre de arquitetura, e que deve ser respeitado, é que </w:t>
      </w:r>
      <w:r>
        <w:rPr>
          <w:rFonts w:ascii="Calibri" w:hAnsi="Calibri"/>
          <w:b/>
          <w:color w:val="0A0A0A"/>
          <w:sz w:val="21"/>
        </w:rPr>
        <w:t>nem todo arquivo do back-end faz parte do sistema em execução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projeto nasceu da fusão de um back-end antigo (modelado com UUID e com protocolos ao estilo hexagonal de manual) com a integração nova (alinhada ao banco real, que usa identificadores inteiros </w:t>
      </w:r>
      <w:r>
        <w:rPr>
          <w:rFonts w:ascii="Consolas" w:hAnsi="Consolas"/>
          <w:color w:val="1F1F1F"/>
          <w:sz w:val="19"/>
          <w:shd w:val="clear" w:color="auto" w:fill="F4F4F4"/>
        </w:rPr>
        <w:t>SERIAL</w:t>
      </w:r>
      <w:r>
        <w:rPr>
          <w:rFonts w:ascii="Calibri" w:hAnsi="Calibri"/>
          <w:b w:val="0"/>
          <w:i w:val="0"/>
          <w:color w:val="0A0A0A"/>
          <w:sz w:val="21"/>
        </w:rPr>
        <w:t xml:space="preserve">). Parte do código antigo permaneceu como </w:t>
      </w:r>
      <w:r>
        <w:rPr>
          <w:rFonts w:ascii="Calibri" w:hAnsi="Calibri"/>
          <w:i/>
          <w:color w:val="0A0A0A"/>
          <w:sz w:val="21"/>
        </w:rPr>
        <w:t>scaffolding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não conectado.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caminho de execução real é sempre: </w:t>
      </w:r>
      <w:r>
        <w:rPr>
          <w:rFonts w:ascii="Calibri" w:hAnsi="Calibri"/>
          <w:b/>
          <w:color w:val="0A0A0A"/>
          <w:sz w:val="21"/>
        </w:rPr>
        <w:t>router → caso de uso → repositório concreto → view do banco</w:t>
      </w:r>
      <w:r>
        <w:rPr>
          <w:rFonts w:ascii="Calibri" w:hAnsi="Calibri"/>
          <w:b w:val="0"/>
          <w:i w:val="0"/>
          <w:color w:val="0A0A0A"/>
          <w:sz w:val="21"/>
        </w:rPr>
        <w:t xml:space="preserve">. Um arquivo que não é alcançável a partir de um router incluído em </w:t>
      </w:r>
      <w:r>
        <w:rPr>
          <w:rFonts w:ascii="Consolas" w:hAnsi="Consolas"/>
          <w:color w:val="1F1F1F"/>
          <w:sz w:val="19"/>
          <w:shd w:val="clear" w:color="auto" w:fill="F4F4F4"/>
        </w:rPr>
        <w:t>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não roda em produção.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5.1 Componentes ativos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; todos os routers de </w:t>
      </w:r>
      <w:r>
        <w:rPr>
          <w:rFonts w:ascii="Consolas" w:hAnsi="Consolas"/>
          <w:color w:val="1F1F1F"/>
          <w:sz w:val="19"/>
          <w:shd w:val="clear" w:color="auto" w:fill="F4F4F4"/>
        </w:rPr>
        <w:t>presentation/api/v1/routers/</w:t>
      </w:r>
      <w:r>
        <w:rPr>
          <w:rFonts w:ascii="Calibri" w:hAnsi="Calibri"/>
          <w:b w:val="0"/>
          <w:i w:val="0"/>
          <w:color w:val="0A0A0A"/>
          <w:sz w:val="21"/>
        </w:rPr>
        <w:t xml:space="preserve">; os schemas e o </w:t>
      </w:r>
      <w:r>
        <w:rPr>
          <w:rFonts w:ascii="Consolas" w:hAnsi="Consolas"/>
          <w:color w:val="1F1F1F"/>
          <w:sz w:val="19"/>
          <w:shd w:val="clear" w:color="auto" w:fill="F4F4F4"/>
        </w:rPr>
        <w:t>masking.py</w:t>
      </w:r>
      <w:r>
        <w:rPr>
          <w:rFonts w:ascii="Calibri" w:hAnsi="Calibri"/>
          <w:b w:val="0"/>
          <w:i w:val="0"/>
          <w:color w:val="0A0A0A"/>
          <w:sz w:val="21"/>
        </w:rPr>
        <w:t xml:space="preserve">; todos os casos de uso de </w:t>
      </w:r>
      <w:r>
        <w:rPr>
          <w:rFonts w:ascii="Consolas" w:hAnsi="Consolas"/>
          <w:color w:val="1F1F1F"/>
          <w:sz w:val="19"/>
          <w:shd w:val="clear" w:color="auto" w:fill="F4F4F4"/>
        </w:rPr>
        <w:t>application/use_cases/</w:t>
      </w:r>
      <w:r>
        <w:rPr>
          <w:rFonts w:ascii="Calibri" w:hAnsi="Calibri"/>
          <w:b w:val="0"/>
          <w:i w:val="0"/>
          <w:color w:val="0A0A0A"/>
          <w:sz w:val="21"/>
        </w:rPr>
        <w:t xml:space="preserve">; os DTOs de anamnese; as entidades </w:t>
      </w:r>
      <w:r>
        <w:rPr>
          <w:rFonts w:ascii="Consolas" w:hAnsi="Consolas"/>
          <w:color w:val="1F1F1F"/>
          <w:sz w:val="19"/>
          <w:shd w:val="clear" w:color="auto" w:fill="F4F4F4"/>
        </w:rPr>
        <w:t>Patient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Acompanhante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o objeto de valor </w:t>
      </w:r>
      <w:r>
        <w:rPr>
          <w:rFonts w:ascii="Consolas" w:hAnsi="Consolas"/>
          <w:color w:val="1F1F1F"/>
          <w:sz w:val="19"/>
          <w:shd w:val="clear" w:color="auto" w:fill="F4F4F4"/>
        </w:rPr>
        <w:t>CPF</w:t>
      </w:r>
      <w:r>
        <w:rPr>
          <w:rFonts w:ascii="Calibri" w:hAnsi="Calibri"/>
          <w:b w:val="0"/>
          <w:i w:val="0"/>
          <w:color w:val="0A0A0A"/>
          <w:sz w:val="21"/>
        </w:rPr>
        <w:t xml:space="preserve">; o </w:t>
      </w:r>
      <w:r>
        <w:rPr>
          <w:rFonts w:ascii="Consolas" w:hAnsi="Consolas"/>
          <w:color w:val="1F1F1F"/>
          <w:sz w:val="19"/>
          <w:shd w:val="clear" w:color="auto" w:fill="F4F4F4"/>
        </w:rPr>
        <w:t>SymptomScoringOrchestrator</w:t>
      </w:r>
      <w:r>
        <w:rPr>
          <w:rFonts w:ascii="Calibri" w:hAnsi="Calibri"/>
          <w:b w:val="0"/>
          <w:i w:val="0"/>
          <w:color w:val="0A0A0A"/>
          <w:sz w:val="21"/>
        </w:rPr>
        <w:t xml:space="preserve">; todos os repositórios concretos de </w:t>
      </w:r>
      <w:r>
        <w:rPr>
          <w:rFonts w:ascii="Consolas" w:hAnsi="Consolas"/>
          <w:color w:val="1F1F1F"/>
          <w:sz w:val="19"/>
          <w:shd w:val="clear" w:color="auto" w:fill="F4F4F4"/>
        </w:rPr>
        <w:t>interfaces/repositories/</w:t>
      </w:r>
      <w:r>
        <w:rPr>
          <w:rFonts w:ascii="Calibri" w:hAnsi="Calibri"/>
          <w:b w:val="0"/>
          <w:i w:val="0"/>
          <w:color w:val="0A0A0A"/>
          <w:sz w:val="21"/>
        </w:rPr>
        <w:t xml:space="preserve">; o guarda </w:t>
      </w:r>
      <w:r>
        <w:rPr>
          <w:rFonts w:ascii="Consolas" w:hAnsi="Consolas"/>
          <w:color w:val="1F1F1F"/>
          <w:sz w:val="19"/>
          <w:shd w:val="clear" w:color="auto" w:fill="F4F4F4"/>
        </w:rPr>
        <w:t>get_current_doctor</w:t>
      </w:r>
      <w:r>
        <w:rPr>
          <w:rFonts w:ascii="Calibri" w:hAnsi="Calibri"/>
          <w:b w:val="0"/>
          <w:i w:val="0"/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color="auto" w:fill="F4F4F4"/>
        </w:rPr>
        <w:t>get_current_admin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; </w:t>
      </w:r>
      <w:r>
        <w:rPr>
          <w:rFonts w:ascii="Consolas" w:hAnsi="Consolas"/>
          <w:color w:val="1F1F1F"/>
          <w:sz w:val="19"/>
          <w:shd w:val="clear" w:color="auto" w:fill="F4F4F4"/>
        </w:rPr>
        <w:t>core/config.py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core/security.py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core/exceptions.py</w:t>
      </w:r>
      <w:r>
        <w:rPr>
          <w:rFonts w:ascii="Calibri" w:hAnsi="Calibri"/>
          <w:b w:val="0"/>
          <w:i w:val="0"/>
          <w:color w:val="0A0A0A"/>
          <w:sz w:val="21"/>
        </w:rPr>
        <w:t xml:space="preserve">; </w:t>
      </w:r>
      <w:r>
        <w:rPr>
          <w:rFonts w:ascii="Consolas" w:hAnsi="Consolas"/>
          <w:color w:val="1F1F1F"/>
          <w:sz w:val="19"/>
          <w:shd w:val="clear" w:color="auto" w:fill="F4F4F4"/>
        </w:rPr>
        <w:t>db/database.py</w:t>
      </w:r>
      <w:r>
        <w:rPr>
          <w:rFonts w:ascii="Calibri" w:hAnsi="Calibri"/>
          <w:b w:val="0"/>
          <w:i w:val="0"/>
          <w:color w:val="0A0A0A"/>
          <w:sz w:val="21"/>
        </w:rPr>
        <w:t xml:space="preserve">; e </w:t>
      </w:r>
      <w:r>
        <w:rPr>
          <w:rFonts w:ascii="Consolas" w:hAnsi="Consolas"/>
          <w:color w:val="1F1F1F"/>
          <w:sz w:val="19"/>
          <w:shd w:val="clear" w:color="auto" w:fill="F4F4F4"/>
        </w:rPr>
        <w:t>services/auth_service.py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5.2 Componentes legados ou órfãos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Os protocolos de </w:t>
      </w:r>
      <w:r>
        <w:rPr>
          <w:rFonts w:ascii="Consolas" w:hAnsi="Consolas"/>
          <w:color w:val="1F1F1F"/>
          <w:sz w:val="19"/>
          <w:shd w:val="clear" w:color="auto" w:fill="F4F4F4"/>
        </w:rPr>
        <w:t>domain/ports/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IPatientRepository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IEvaluationRepository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IChecklistResponseRepository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ISymptomRepository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IUserRepository</w:t>
      </w:r>
      <w:r>
        <w:rPr>
          <w:rFonts w:ascii="Calibri" w:hAnsi="Calibri"/>
          <w:b w:val="0"/>
          <w:i w:val="0"/>
          <w:color w:val="0A0A0A"/>
          <w:sz w:val="21"/>
        </w:rPr>
        <w:t xml:space="preserve">) e as entidades </w:t>
      </w:r>
      <w:r>
        <w:rPr>
          <w:rFonts w:ascii="Consolas" w:hAnsi="Consolas"/>
          <w:color w:val="1F1F1F"/>
          <w:sz w:val="19"/>
          <w:shd w:val="clear" w:color="auto" w:fill="F4F4F4"/>
        </w:rPr>
        <w:t>Evaluation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ChecklistResponse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Symptom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User</w:t>
      </w:r>
      <w:r>
        <w:rPr>
          <w:rFonts w:ascii="Calibri" w:hAnsi="Calibri"/>
          <w:b w:val="0"/>
          <w:i w:val="0"/>
          <w:color w:val="0A0A0A"/>
          <w:sz w:val="21"/>
        </w:rPr>
        <w:t xml:space="preserve"> existem e importam corretamente, mas </w:t>
      </w:r>
      <w:r>
        <w:rPr>
          <w:rFonts w:ascii="Calibri" w:hAnsi="Calibri"/>
          <w:b/>
          <w:color w:val="0A0A0A"/>
          <w:sz w:val="21"/>
        </w:rPr>
        <w:t>nenhum router ou caso de uso ativo os utiliza</w:t>
      </w:r>
      <w:r>
        <w:rPr>
          <w:rFonts w:ascii="Calibri" w:hAnsi="Calibri"/>
          <w:b w:val="0"/>
          <w:i w:val="0"/>
          <w:color w:val="0A0A0A"/>
          <w:sz w:val="21"/>
        </w:rPr>
        <w:t xml:space="preserve">. São resquícios do back-end antigo, modelados com UUID. A regra prática: se um arquivo de domínio usa </w:t>
      </w:r>
      <w:r>
        <w:rPr>
          <w:rFonts w:ascii="Consolas" w:hAnsi="Consolas"/>
          <w:color w:val="1F1F1F"/>
          <w:sz w:val="19"/>
          <w:shd w:val="clear" w:color="auto" w:fill="F4F4F4"/>
        </w:rPr>
        <w:t>id: UUID</w:t>
      </w:r>
      <w:r>
        <w:rPr>
          <w:rFonts w:ascii="Calibri" w:hAnsi="Calibri"/>
          <w:b w:val="0"/>
          <w:i w:val="0"/>
          <w:color w:val="0A0A0A"/>
          <w:sz w:val="21"/>
        </w:rPr>
        <w:t xml:space="preserve">, trata-se de código legado. Ao estudar o sistema, esses arquivos podem ser ignorados; ao implementar algo novo, deve-se seguir o padrão ativo (entidade simples + DTO + repositório concreto com </w:t>
      </w:r>
      <w:r>
        <w:rPr>
          <w:rFonts w:ascii="Consolas" w:hAnsi="Consolas"/>
          <w:color w:val="1F1F1F"/>
          <w:sz w:val="19"/>
          <w:shd w:val="clear" w:color="auto" w:fill="F4F4F4"/>
        </w:rPr>
        <w:t>int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Modelo de dados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banco foi desenhado em torno de dois princípios: conformidade com a LGPD (dados pessoais cifrados em repouso) e auditabilidade completa (toda ação relevante deixa rastro). Os dados se organizam em três camadas.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FISICA  (tb_*)   -&gt;  guarda dados CIFRADOS (BYTEA) e hashes   &lt;- back NAO acessa direto</w:t>
        <w:br/>
        <w:t xml:space="preserve">   ^ trigger INSTEAD OF cifra no INSERT</w:t>
        <w:br/>
        <w:t>LOGICA  (views)  -&gt;  decifram em runtime (pgp_sym_decrypt)     &lt;- back acessa SO aqui</w:t>
        <w:br/>
        <w:t>RELATORIO        -&gt;  vw_dashboard_anonimizado (sem dado pessoal) &lt;- BI / dashboard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6.1 Tabelas físicas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60"/>
        <w:gridCol w:w="4950"/>
        <w:gridCol w:w="1350"/>
      </w:tblGrid>
      <w:tr>
        <w:trPr>
          <w:tblHeader/>
          <w:cantSplit/>
        </w:trPr>
        <w:tc>
          <w:tcPr>
            <w:tcW w:type="dxa" w:w="306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Tabela</w:t>
            </w:r>
          </w:p>
        </w:tc>
        <w:tc>
          <w:tcPr>
            <w:tcW w:type="dxa" w:w="495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Papel</w:t>
            </w:r>
          </w:p>
        </w:tc>
        <w:tc>
          <w:tcPr>
            <w:tcW w:type="dxa" w:w="135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Dado pessoal</w:t>
            </w:r>
          </w:p>
        </w:tc>
      </w:tr>
      <w:tr>
        <w:trPr>
          <w:cantSplit/>
        </w:trPr>
        <w:tc>
          <w:tcPr>
            <w:tcW w:type="dxa" w:w="306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</w:t>
            </w:r>
          </w:p>
        </w:tc>
        <w:tc>
          <w:tcPr>
            <w:tcW w:type="dxa" w:w="4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Médicos e administradores (raiz de autoria); senha em bcrypt</w:t>
            </w:r>
          </w:p>
        </w:tc>
        <w:tc>
          <w:tcPr>
            <w:tcW w:type="dxa" w:w="13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senha</w:t>
            </w:r>
          </w:p>
        </w:tc>
      </w:tr>
      <w:tr>
        <w:trPr>
          <w:cantSplit/>
        </w:trPr>
        <w:tc>
          <w:tcPr>
            <w:tcW w:type="dxa" w:w="306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</w:t>
            </w:r>
          </w:p>
        </w:tc>
        <w:tc>
          <w:tcPr>
            <w:tcW w:type="dxa" w:w="4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Núcleo clínico e demográfico;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nome_criptografado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(BYTEA),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cpf_hash</w:t>
            </w:r>
          </w:p>
        </w:tc>
        <w:tc>
          <w:tcPr>
            <w:tcW w:type="dxa" w:w="13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 (cifrada)</w:t>
            </w:r>
          </w:p>
        </w:tc>
      </w:tr>
      <w:tr>
        <w:trPr>
          <w:cantSplit/>
        </w:trPr>
        <w:tc>
          <w:tcPr>
            <w:tcW w:type="dxa" w:w="306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</w:t>
            </w:r>
          </w:p>
        </w:tc>
        <w:tc>
          <w:tcPr>
            <w:tcW w:type="dxa" w:w="4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Responsável/cuidador; mesmo padrão de proteção</w:t>
            </w:r>
          </w:p>
        </w:tc>
        <w:tc>
          <w:tcPr>
            <w:tcW w:type="dxa" w:w="13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 (cifrada)</w:t>
            </w:r>
          </w:p>
        </w:tc>
      </w:tr>
      <w:tr>
        <w:trPr>
          <w:cantSplit/>
        </w:trPr>
        <w:tc>
          <w:tcPr>
            <w:tcW w:type="dxa" w:w="306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</w:t>
            </w:r>
          </w:p>
        </w:tc>
        <w:tc>
          <w:tcPr>
            <w:tcW w:type="dxa" w:w="4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Sessões de triagem;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score_final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status</w:t>
            </w:r>
          </w:p>
        </w:tc>
        <w:tc>
          <w:tcPr>
            <w:tcW w:type="dxa" w:w="13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306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sintomas</w:t>
            </w:r>
          </w:p>
        </w:tc>
        <w:tc>
          <w:tcPr>
            <w:tcW w:type="dxa" w:w="4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Catálogo de 12 sintomas com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peso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peso_feminino</w:t>
            </w:r>
          </w:p>
        </w:tc>
        <w:tc>
          <w:tcPr>
            <w:tcW w:type="dxa" w:w="13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306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parametro_triagem</w:t>
            </w:r>
          </w:p>
        </w:tc>
        <w:tc>
          <w:tcPr>
            <w:tcW w:type="dxa" w:w="4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Limiares por sexo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limiar_score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), AUC, versão</w:t>
            </w:r>
          </w:p>
        </w:tc>
        <w:tc>
          <w:tcPr>
            <w:tcW w:type="dxa" w:w="13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306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respostas_checklist</w:t>
            </w:r>
          </w:p>
        </w:tc>
        <w:tc>
          <w:tcPr>
            <w:tcW w:type="dxa" w:w="4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Tabela associativa avaliação × sintoma (PK composta)</w:t>
            </w:r>
          </w:p>
        </w:tc>
        <w:tc>
          <w:tcPr>
            <w:tcW w:type="dxa" w:w="13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306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tb_historico_familiar</w:t>
            </w:r>
          </w:p>
        </w:tc>
        <w:tc>
          <w:tcPr>
            <w:tcW w:type="dxa" w:w="4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Achados hereditários (1 por avaliação)</w:t>
            </w:r>
          </w:p>
        </w:tc>
        <w:tc>
          <w:tcPr>
            <w:tcW w:type="dxa" w:w="13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306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tb_encaminhamentos</w:t>
            </w:r>
          </w:p>
        </w:tc>
        <w:tc>
          <w:tcPr>
            <w:tcW w:type="dxa" w:w="4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Encaminhamentos (ex.: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exame_fmr1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  <w:tc>
          <w:tcPr>
            <w:tcW w:type="dxa" w:w="13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306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tb_agendamentos</w:t>
            </w:r>
          </w:p>
        </w:tc>
        <w:tc>
          <w:tcPr>
            <w:tcW w:type="dxa" w:w="4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Agenda de compromissos</w:t>
            </w:r>
          </w:p>
        </w:tc>
        <w:tc>
          <w:tcPr>
            <w:tcW w:type="dxa" w:w="13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tabelas de auditoria —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tb_log_tentativas_login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tb_auditoria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são </w:t>
      </w:r>
      <w:r>
        <w:rPr>
          <w:rFonts w:ascii="Calibri" w:hAnsi="Calibri"/>
          <w:i/>
          <w:color w:val="0A0A0A"/>
          <w:sz w:val="21"/>
        </w:rPr>
        <w:t>append-only</w:t>
      </w:r>
      <w:r>
        <w:rPr>
          <w:rFonts w:ascii="Calibri" w:hAnsi="Calibri"/>
          <w:b w:val="0"/>
          <w:i w:val="0"/>
          <w:color w:val="0A0A0A"/>
          <w:sz w:val="21"/>
        </w:rPr>
        <w:t>: aceitam apenas INSERT, com UPDATE e DELETE revogados, garantindo histórico imutável.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6.2 Views — a camada lógica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587"/>
        <w:gridCol w:w="1816"/>
        <w:gridCol w:w="1927"/>
        <w:gridCol w:w="3028"/>
      </w:tblGrid>
      <w:tr>
        <w:trPr>
          <w:tblHeader/>
          <w:cantSplit/>
        </w:trPr>
        <w:tc>
          <w:tcPr>
            <w:tcW w:type="dxa" w:w="258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View</w:t>
            </w:r>
          </w:p>
        </w:tc>
        <w:tc>
          <w:tcPr>
            <w:tcW w:type="dxa" w:w="181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Sobre</w:t>
            </w:r>
          </w:p>
        </w:tc>
        <w:tc>
          <w:tcPr>
            <w:tcW w:type="dxa" w:w="192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Leitura</w:t>
            </w:r>
          </w:p>
        </w:tc>
        <w:tc>
          <w:tcPr>
            <w:tcW w:type="dxa" w:w="302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Escrita</w:t>
            </w:r>
          </w:p>
        </w:tc>
      </w:tr>
      <w:tr>
        <w:trPr>
          <w:cantSplit/>
        </w:trPr>
        <w:tc>
          <w:tcPr>
            <w:tcW w:type="dxa" w:w="258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pacientes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+ LEFT JOIN acompanhante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nome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decifrado,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idade_anos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calculada</w:t>
            </w:r>
          </w:p>
        </w:tc>
        <w:tc>
          <w:tcPr>
            <w:tcW w:type="dxa" w:w="302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trigger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INSTEAD OF INSERT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fn_pacientes_insert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 cifra o nome</w:t>
            </w:r>
          </w:p>
        </w:tc>
      </w:tr>
      <w:tr>
        <w:trPr>
          <w:cantSplit/>
        </w:trPr>
        <w:tc>
          <w:tcPr>
            <w:tcW w:type="dxa" w:w="2587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acompanhantes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nome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decifrado</w:t>
            </w:r>
          </w:p>
        </w:tc>
        <w:tc>
          <w:tcPr>
            <w:tcW w:type="dxa" w:w="302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trigger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fn_acompanhantes_insert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cifra o nome</w:t>
            </w:r>
          </w:p>
        </w:tc>
      </w:tr>
      <w:tr>
        <w:trPr>
          <w:cantSplit/>
        </w:trPr>
        <w:tc>
          <w:tcPr>
            <w:tcW w:type="dxa" w:w="258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avaliacoes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+ coluna calculada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recomenda_exame</w:t>
            </w:r>
          </w:p>
        </w:tc>
        <w:tc>
          <w:tcPr>
            <w:tcW w:type="dxa" w:w="302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somente leitura</w:t>
            </w:r>
          </w:p>
        </w:tc>
      </w:tr>
      <w:tr>
        <w:trPr>
          <w:cantSplit/>
        </w:trPr>
        <w:tc>
          <w:tcPr>
            <w:tcW w:type="dxa" w:w="2587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vw_dashboard_anonimizado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(materializada)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agregações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sem dado pessoal</w:t>
            </w:r>
          </w:p>
        </w:tc>
        <w:tc>
          <w:tcPr>
            <w:tcW w:type="dxa" w:w="302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refresh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CONCURRENTLY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(admin)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coluna calculada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, exposta pela view </w:t>
      </w:r>
      <w:r>
        <w:rPr>
          <w:rFonts w:ascii="Consolas" w:hAnsi="Consolas"/>
          <w:color w:val="1F1F1F"/>
          <w:sz w:val="19"/>
          <w:shd w:val="clear" w:color="auto" w:fill="F4F4F4"/>
        </w:rPr>
        <w:t>avaliacoes</w:t>
      </w:r>
      <w:r>
        <w:rPr>
          <w:rFonts w:ascii="Calibri" w:hAnsi="Calibri"/>
          <w:b w:val="0"/>
          <w:i w:val="0"/>
          <w:color w:val="0A0A0A"/>
          <w:sz w:val="21"/>
        </w:rPr>
        <w:t>, é uma dependência crítica do back-end (ADR-0005): a lista enriquecida de pacientes, o histórico e o resumo do dashboard a consomem. Sua regra de cálculo é tratada na seção 7.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6.3 Funções e gatilhos relevantes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758"/>
        <w:gridCol w:w="780"/>
        <w:gridCol w:w="3822"/>
      </w:tblGrid>
      <w:tr>
        <w:trPr>
          <w:tblHeader/>
          <w:cantSplit/>
        </w:trPr>
        <w:tc>
          <w:tcPr>
            <w:tcW w:type="dxa" w:w="475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</w:t>
            </w:r>
          </w:p>
        </w:tc>
        <w:tc>
          <w:tcPr>
            <w:tcW w:type="dxa" w:w="78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382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Papel</w:t>
            </w:r>
          </w:p>
        </w:tc>
      </w:tr>
      <w:tr>
        <w:trPr>
          <w:cantSplit/>
        </w:trPr>
        <w:tc>
          <w:tcPr>
            <w:tcW w:type="dxa" w:w="47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fn_calcular_score_triagem(avaliacao_id)</w:t>
            </w:r>
          </w:p>
        </w:tc>
        <w:tc>
          <w:tcPr>
            <w:tcW w:type="dxa" w:w="7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RPC</w:t>
            </w:r>
          </w:p>
        </w:tc>
        <w:tc>
          <w:tcPr>
            <w:tcW w:type="dxa" w:w="38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Calcula o escore, finaliza a avaliação e registra a análise. Coração da triagem.</w:t>
            </w:r>
          </w:p>
        </w:tc>
      </w:tr>
      <w:tr>
        <w:trPr>
          <w:cantSplit/>
        </w:trPr>
        <w:tc>
          <w:tcPr>
            <w:tcW w:type="dxa" w:w="47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fn_registrar_auditoria(...)</w:t>
            </w:r>
          </w:p>
        </w:tc>
        <w:tc>
          <w:tcPr>
            <w:tcW w:type="dxa" w:w="7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RPC</w:t>
            </w:r>
          </w:p>
        </w:tc>
        <w:tc>
          <w:tcPr>
            <w:tcW w:type="dxa" w:w="38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Grava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tb_auditoria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(best-effort no back-end)</w:t>
            </w:r>
          </w:p>
        </w:tc>
      </w:tr>
      <w:tr>
        <w:trPr>
          <w:cantSplit/>
        </w:trPr>
        <w:tc>
          <w:tcPr>
            <w:tcW w:type="dxa" w:w="47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fn_pacientes_insert()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/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fn_acompanhantes_insert()</w:t>
            </w:r>
          </w:p>
        </w:tc>
        <w:tc>
          <w:tcPr>
            <w:tcW w:type="dxa" w:w="7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trigger</w:t>
            </w:r>
          </w:p>
        </w:tc>
        <w:tc>
          <w:tcPr>
            <w:tcW w:type="dxa" w:w="38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Cifram o nome no INSERT das views</w:t>
            </w:r>
          </w:p>
        </w:tc>
      </w:tr>
      <w:tr>
        <w:trPr>
          <w:cantSplit/>
        </w:trPr>
        <w:tc>
          <w:tcPr>
            <w:tcW w:type="dxa" w:w="47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fn_set_updated_at()</w:t>
            </w:r>
          </w:p>
        </w:tc>
        <w:tc>
          <w:tcPr>
            <w:tcW w:type="dxa" w:w="7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trigger</w:t>
            </w:r>
          </w:p>
        </w:tc>
        <w:tc>
          <w:tcPr>
            <w:tcW w:type="dxa" w:w="38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Mantém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atualizado_em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7. O fluxo central: submissão de anamnese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submissão de anamnese é o coração clínico do sistema. Por decisão de arquitetura (ADR-0004), foi consolidada num único endpoint: </w:t>
      </w:r>
      <w:r>
        <w:rPr>
          <w:rFonts w:ascii="Consolas" w:hAnsi="Consolas"/>
          <w:color w:val="1F1F1F"/>
          <w:sz w:val="19"/>
          <w:shd w:val="clear" w:color="auto" w:fill="F4F4F4"/>
        </w:rPr>
        <w:t>POST /api/v1/avaliacoes</w:t>
      </w:r>
      <w:r>
        <w:rPr>
          <w:rFonts w:ascii="Calibri" w:hAnsi="Calibri"/>
          <w:b w:val="0"/>
          <w:i w:val="0"/>
          <w:color w:val="0A0A0A"/>
          <w:sz w:val="21"/>
        </w:rPr>
        <w:t>. O front-end envia um único payload contendo o checklist de sintomas e o histórico familiar; o back-end executa todo o fluxo em uma transação.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caso de uso </w:t>
      </w:r>
      <w:r>
        <w:rPr>
          <w:rFonts w:ascii="Consolas" w:hAnsi="Consolas"/>
          <w:color w:val="1F1F1F"/>
          <w:sz w:val="19"/>
          <w:shd w:val="clear" w:color="auto" w:fill="F4F4F4"/>
        </w:rPr>
        <w:t>SubmitAnamnesisUseCase</w:t>
      </w:r>
      <w:r>
        <w:rPr>
          <w:rFonts w:ascii="Calibri" w:hAnsi="Calibri"/>
          <w:b w:val="0"/>
          <w:i w:val="0"/>
          <w:color w:val="0A0A0A"/>
          <w:sz w:val="21"/>
        </w:rPr>
        <w:t xml:space="preserve"> sequencia os seguintes passos, todos na mesma </w:t>
      </w:r>
      <w:r>
        <w:rPr>
          <w:rFonts w:ascii="Consolas" w:hAnsi="Consolas"/>
          <w:color w:val="1F1F1F"/>
          <w:sz w:val="19"/>
          <w:shd w:val="clear" w:color="auto" w:fill="F4F4F4"/>
        </w:rPr>
        <w:t>AsyncSession</w:t>
      </w:r>
      <w:r>
        <w:rPr>
          <w:rFonts w:ascii="Calibri" w:hAnsi="Calibri"/>
          <w:b w:val="0"/>
          <w:i w:val="0"/>
          <w:color w:val="0A0A0A"/>
          <w:sz w:val="21"/>
        </w:rPr>
        <w:t xml:space="preserve"> (unidade de trabalho):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 xml:space="preserve">Cria a avaliação em estado </w:t>
      </w:r>
      <w:r>
        <w:rPr>
          <w:rFonts w:ascii="Consolas" w:hAnsi="Consolas"/>
          <w:color w:val="1F1F1F"/>
          <w:sz w:val="19"/>
          <w:shd w:val="clear" w:color="auto" w:fill="F4F4F4"/>
        </w:rPr>
        <w:t>rascunho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AvaliacaoRepository.create_rascunho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>Registra o acompanhante presente nesta visita (modelo de acompanhante por visita).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Abre um registro em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 xml:space="preserve">Insere as respostas do checklist em </w:t>
      </w:r>
      <w:r>
        <w:rPr>
          <w:rFonts w:ascii="Consolas" w:hAnsi="Consolas"/>
          <w:color w:val="1F1F1F"/>
          <w:sz w:val="19"/>
          <w:shd w:val="clear" w:color="auto" w:fill="F4F4F4"/>
        </w:rPr>
        <w:t>respostas_checklist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 w:val="0"/>
          <w:i w:val="0"/>
          <w:color w:val="0A0A0A"/>
          <w:sz w:val="21"/>
        </w:rPr>
        <w:t xml:space="preserve">Insere o histórico familiar em </w:t>
      </w:r>
      <w:r>
        <w:rPr>
          <w:rFonts w:ascii="Consolas" w:hAnsi="Consolas"/>
          <w:color w:val="1F1F1F"/>
          <w:sz w:val="19"/>
          <w:shd w:val="clear" w:color="auto" w:fill="F4F4F4"/>
        </w:rPr>
        <w:t>tb_historico_familiar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b w:val="0"/>
          <w:i w:val="0"/>
          <w:color w:val="0A0A0A"/>
          <w:sz w:val="21"/>
        </w:rPr>
        <w:t xml:space="preserve">Delega o cálculo do escore à função do banco </w:t>
      </w:r>
      <w:r>
        <w:rPr>
          <w:rFonts w:ascii="Consolas" w:hAnsi="Consolas"/>
          <w:color w:val="1F1F1F"/>
          <w:sz w:val="19"/>
          <w:shd w:val="clear" w:color="auto" w:fill="F4F4F4"/>
        </w:rPr>
        <w:t>fn_calcular_score_triagem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, via </w:t>
      </w:r>
      <w:r>
        <w:rPr>
          <w:rFonts w:ascii="Consolas" w:hAnsi="Consolas"/>
          <w:color w:val="1F1F1F"/>
          <w:sz w:val="19"/>
          <w:shd w:val="clear" w:color="auto" w:fill="F4F4F4"/>
        </w:rPr>
        <w:t>SymptomScoringOrchestrator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7. </w:t>
      </w:r>
      <w:r>
        <w:rPr>
          <w:rFonts w:ascii="Calibri" w:hAnsi="Calibri"/>
          <w:b w:val="0"/>
          <w:i w:val="0"/>
          <w:color w:val="0A0A0A"/>
          <w:sz w:val="21"/>
        </w:rPr>
        <w:t xml:space="preserve">Quando o exame é recomendado, cria o encaminhamento automático </w:t>
      </w:r>
      <w:r>
        <w:rPr>
          <w:rFonts w:ascii="Consolas" w:hAnsi="Consolas"/>
          <w:color w:val="1F1F1F"/>
          <w:sz w:val="19"/>
          <w:shd w:val="clear" w:color="auto" w:fill="F4F4F4"/>
        </w:rPr>
        <w:t>exame_fmr1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8. </w:t>
      </w:r>
      <w:r>
        <w:rPr>
          <w:rFonts w:ascii="Calibri" w:hAnsi="Calibri"/>
          <w:b w:val="0"/>
          <w:i w:val="0"/>
          <w:color w:val="0A0A0A"/>
          <w:sz w:val="21"/>
        </w:rPr>
        <w:t>Registra uma entrada de auditoria (</w:t>
      </w:r>
      <w:r>
        <w:rPr>
          <w:rFonts w:ascii="Consolas" w:hAnsi="Consolas"/>
          <w:color w:val="1F1F1F"/>
          <w:sz w:val="19"/>
          <w:shd w:val="clear" w:color="auto" w:fill="F4F4F4"/>
        </w:rPr>
        <w:t>AVALIACAO_FINALIZADA</w:t>
      </w:r>
      <w:r>
        <w:rPr>
          <w:rFonts w:ascii="Calibri" w:hAnsi="Calibri"/>
          <w:b w:val="0"/>
          <w:i w:val="0"/>
          <w:color w:val="0A0A0A"/>
          <w:sz w:val="21"/>
        </w:rPr>
        <w:t>), em modo best-effort.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atomicidade vem da </w:t>
      </w:r>
      <w:r>
        <w:rPr>
          <w:rFonts w:ascii="Consolas" w:hAnsi="Consolas"/>
          <w:color w:val="1F1F1F"/>
          <w:sz w:val="19"/>
          <w:shd w:val="clear" w:color="auto" w:fill="F4F4F4"/>
        </w:rPr>
        <w:t>AsyncSession</w:t>
      </w:r>
      <w:r>
        <w:rPr>
          <w:rFonts w:ascii="Calibri" w:hAnsi="Calibri"/>
          <w:b w:val="0"/>
          <w:i w:val="0"/>
          <w:color w:val="0A0A0A"/>
          <w:sz w:val="21"/>
        </w:rPr>
        <w:t xml:space="preserve"> injetada por requisição: </w:t>
      </w:r>
      <w:r>
        <w:rPr>
          <w:rFonts w:ascii="Consolas" w:hAnsi="Consolas"/>
          <w:color w:val="1F1F1F"/>
          <w:sz w:val="19"/>
          <w:shd w:val="clear" w:color="auto" w:fill="F4F4F4"/>
        </w:rPr>
        <w:t>get_db_session</w:t>
      </w:r>
      <w:r>
        <w:rPr>
          <w:rFonts w:ascii="Calibri" w:hAnsi="Calibri"/>
          <w:b w:val="0"/>
          <w:i w:val="0"/>
          <w:color w:val="0A0A0A"/>
          <w:sz w:val="21"/>
        </w:rPr>
        <w:t xml:space="preserve"> faz </w:t>
      </w:r>
      <w:r>
        <w:rPr>
          <w:rFonts w:ascii="Consolas" w:hAnsi="Consolas"/>
          <w:color w:val="1F1F1F"/>
          <w:sz w:val="19"/>
          <w:shd w:val="clear" w:color="auto" w:fill="F4F4F4"/>
        </w:rPr>
        <w:t>commit()</w:t>
      </w:r>
      <w:r>
        <w:rPr>
          <w:rFonts w:ascii="Calibri" w:hAnsi="Calibri"/>
          <w:b w:val="0"/>
          <w:i w:val="0"/>
          <w:color w:val="0A0A0A"/>
          <w:sz w:val="21"/>
        </w:rPr>
        <w:t xml:space="preserve"> ao final ou </w:t>
      </w:r>
      <w:r>
        <w:rPr>
          <w:rFonts w:ascii="Consolas" w:hAnsi="Consolas"/>
          <w:color w:val="1F1F1F"/>
          <w:sz w:val="19"/>
          <w:shd w:val="clear" w:color="auto" w:fill="F4F4F4"/>
        </w:rPr>
        <w:t>rollback()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qualquer exceção. Se um passo intermediário falhar, os anteriores são desfeitos juntos.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7.1 O cálculo do escore vive no banco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color="auto" w:fill="F4F4F4"/>
        </w:rPr>
        <w:t>SymptomScoringOrchestrator</w:t>
      </w:r>
      <w:r>
        <w:rPr>
          <w:rFonts w:ascii="Calibri" w:hAnsi="Calibri"/>
          <w:b w:val="0"/>
          <w:i w:val="0"/>
          <w:color w:val="0A0A0A"/>
          <w:sz w:val="21"/>
        </w:rPr>
        <w:t xml:space="preserve"> executa apenas </w:t>
      </w:r>
      <w:r>
        <w:rPr>
          <w:rFonts w:ascii="Consolas" w:hAnsi="Consolas"/>
          <w:color w:val="1F1F1F"/>
          <w:sz w:val="19"/>
          <w:shd w:val="clear" w:color="auto" w:fill="F4F4F4"/>
        </w:rPr>
        <w:t>SELECT * FROM fn_calcular_score_triagem(:avaliacao_id)</w:t>
      </w:r>
      <w:r>
        <w:rPr>
          <w:rFonts w:ascii="Calibri" w:hAnsi="Calibri"/>
          <w:b w:val="0"/>
          <w:i w:val="0"/>
          <w:color w:val="0A0A0A"/>
          <w:sz w:val="21"/>
        </w:rPr>
        <w:t xml:space="preserve"> e tipa o retorno. A função do banco, em uma única chamada atômica: lê as respostas do checklist; multiplica cada sintoma presente pelo peso correspondente ao sexo do paciente; soma para obter o </w:t>
      </w:r>
      <w:r>
        <w:rPr>
          <w:rFonts w:ascii="Consolas" w:hAnsi="Consolas"/>
          <w:color w:val="1F1F1F"/>
          <w:sz w:val="19"/>
          <w:shd w:val="clear" w:color="auto" w:fill="F4F4F4"/>
        </w:rPr>
        <w:t>score_final</w:t>
      </w:r>
      <w:r>
        <w:rPr>
          <w:rFonts w:ascii="Calibri" w:hAnsi="Calibri"/>
          <w:b w:val="0"/>
          <w:i w:val="0"/>
          <w:color w:val="0A0A0A"/>
          <w:sz w:val="21"/>
        </w:rPr>
        <w:t xml:space="preserve">; compara com o </w:t>
      </w:r>
      <w:r>
        <w:rPr>
          <w:rFonts w:ascii="Consolas" w:hAnsi="Consolas"/>
          <w:color w:val="1F1F1F"/>
          <w:sz w:val="19"/>
          <w:shd w:val="clear" w:color="auto" w:fill="F4F4F4"/>
        </w:rPr>
        <w:t>limiar_score</w:t>
      </w:r>
      <w:r>
        <w:rPr>
          <w:rFonts w:ascii="Calibri" w:hAnsi="Calibri"/>
          <w:b w:val="0"/>
          <w:i w:val="0"/>
          <w:color w:val="0A0A0A"/>
          <w:sz w:val="21"/>
        </w:rPr>
        <w:t xml:space="preserve"> vigente; grava a análise em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 xml:space="preserve">; e atualiza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mudando o </w:t>
      </w:r>
      <w:r>
        <w:rPr>
          <w:rFonts w:ascii="Consolas" w:hAnsi="Consolas"/>
          <w:color w:val="1F1F1F"/>
          <w:sz w:val="19"/>
          <w:shd w:val="clear" w:color="auto" w:fill="F4F4F4"/>
        </w:rPr>
        <w:t>status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</w:t>
      </w:r>
      <w:r>
        <w:rPr>
          <w:rFonts w:ascii="Consolas" w:hAnsi="Consolas"/>
          <w:color w:val="1F1F1F"/>
          <w:sz w:val="19"/>
          <w:shd w:val="clear" w:color="auto" w:fill="F4F4F4"/>
        </w:rPr>
        <w:t>finalizada</w:t>
      </w:r>
      <w:r>
        <w:rPr>
          <w:rFonts w:ascii="Calibri" w:hAnsi="Calibri"/>
          <w:b w:val="0"/>
          <w:i w:val="0"/>
          <w:color w:val="0A0A0A"/>
          <w:sz w:val="21"/>
        </w:rPr>
        <w:t xml:space="preserve">. Por isso o caso de uso não define manualmente </w:t>
      </w:r>
      <w:r>
        <w:rPr>
          <w:rFonts w:ascii="Consolas" w:hAnsi="Consolas"/>
          <w:color w:val="1F1F1F"/>
          <w:sz w:val="19"/>
          <w:shd w:val="clear" w:color="auto" w:fill="F4F4F4"/>
        </w:rPr>
        <w:t>status='finalizada'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quem o faz é a função do banco.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fórmula conceitual é: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score_final = SOMA  peso(sintoma, sexo_do_paciente)   para cada sintoma "presente"</w:t>
        <w:br/>
        <w:br/>
        <w:t>recomenda_exame =</w:t>
        <w:br/>
        <w:t xml:space="preserve">    NULL                          se score_final ainda e NULL (nao finalizada)</w:t>
        <w:br/>
        <w:t xml:space="preserve">    false                         se diagnostico_previo_fxs = true</w:t>
        <w:br/>
        <w:t xml:space="preserve">    score_final &gt;= limiar(sexo)   caso contrario   (M: 0.56 · F: 0.55)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view </w:t>
      </w:r>
      <w:r>
        <w:rPr>
          <w:rFonts w:ascii="Consolas" w:hAnsi="Consolas"/>
          <w:color w:val="1F1F1F"/>
          <w:sz w:val="19"/>
          <w:shd w:val="clear" w:color="auto" w:fill="F4F4F4"/>
        </w:rPr>
        <w:t>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materializa a coluna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aplicando exatamente essa regra de decisão na consulta. Manter a lógica no banco garante uma fonte única da verdade (front, back e relatórios concordam), permite recalibrar pesos e limiares sem novo deploy (basta um UPDATE em </w:t>
      </w:r>
      <w:r>
        <w:rPr>
          <w:rFonts w:ascii="Consolas" w:hAnsi="Consolas"/>
          <w:color w:val="1F1F1F"/>
          <w:sz w:val="19"/>
          <w:shd w:val="clear" w:color="auto" w:fill="F4F4F4"/>
        </w:rPr>
        <w:t>sintomas</w:t>
      </w:r>
      <w:r>
        <w:rPr>
          <w:rFonts w:ascii="Calibri" w:hAnsi="Calibri"/>
          <w:b w:val="0"/>
          <w:i w:val="0"/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color="auto" w:fill="F4F4F4"/>
        </w:rPr>
        <w:t>parametro_triagem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), e preserva a auditabilidade (cada execução grava escore e versão do parâmetro em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8. Arquitetura do front-end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front-end não possuía documentação dedicada; esta seção foi derivada da análise direta de </w:t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 xml:space="preserve">. Trata-se de uma aplicação </w:t>
      </w:r>
      <w:r>
        <w:rPr>
          <w:rFonts w:ascii="Calibri" w:hAnsi="Calibri"/>
          <w:b/>
          <w:color w:val="0A0A0A"/>
          <w:sz w:val="21"/>
        </w:rPr>
        <w:t>React sem empacotador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alibri" w:hAnsi="Calibri"/>
          <w:i/>
          <w:color w:val="0A0A0A"/>
          <w:sz w:val="21"/>
        </w:rPr>
        <w:t>bundler</w:t>
      </w:r>
      <w:r>
        <w:rPr>
          <w:rFonts w:ascii="Calibri" w:hAnsi="Calibri"/>
          <w:b w:val="0"/>
          <w:i w:val="0"/>
          <w:color w:val="0A0A0A"/>
          <w:sz w:val="21"/>
        </w:rPr>
        <w:t>): não há etapa de build. Os arquivos são servidos estaticamente e transpilados no próprio navegador.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8.1 Modelo de carregamento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o ponto de montagem. Ele carrega, via CDN: React e ReactDOM 18.3 (builds UMD de desenvolvimento), o Babel Standalone (que transpila os arquivos </w:t>
      </w:r>
      <w:r>
        <w:rPr>
          <w:rFonts w:ascii="Consolas" w:hAnsi="Consolas"/>
          <w:color w:val="1F1F1F"/>
          <w:sz w:val="19"/>
          <w:shd w:val="clear" w:color="auto" w:fill="F4F4F4"/>
        </w:rPr>
        <w:t>.jsx</w:t>
      </w:r>
      <w:r>
        <w:rPr>
          <w:rFonts w:ascii="Calibri" w:hAnsi="Calibri"/>
          <w:b w:val="0"/>
          <w:i w:val="0"/>
          <w:color w:val="0A0A0A"/>
          <w:sz w:val="21"/>
        </w:rPr>
        <w:t xml:space="preserve"> marcados como </w:t>
      </w:r>
      <w:r>
        <w:rPr>
          <w:rFonts w:ascii="Consolas" w:hAnsi="Consolas"/>
          <w:color w:val="1F1F1F"/>
          <w:sz w:val="19"/>
          <w:shd w:val="clear" w:color="auto" w:fill="F4F4F4"/>
        </w:rPr>
        <w:t>type="text/babel"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tempo de execução), o Tailwind CSS (Play CDN), o jsPDF (geração de laudo em PDF) e as fontes Geist. Em seguida, carrega na ordem correta os módulos da aplicação: o cliente de API, a biblioteca de ícones e </w:t>
      </w:r>
      <w:r>
        <w:rPr>
          <w:rFonts w:ascii="Calibri" w:hAnsi="Calibri"/>
          <w:i/>
          <w:color w:val="0A0A0A"/>
          <w:sz w:val="21"/>
        </w:rPr>
        <w:t>hooks</w:t>
      </w:r>
      <w:r>
        <w:rPr>
          <w:rFonts w:ascii="Calibri" w:hAnsi="Calibri"/>
          <w:b w:val="0"/>
          <w:i w:val="0"/>
          <w:color w:val="0A0A0A"/>
          <w:sz w:val="21"/>
        </w:rPr>
        <w:t xml:space="preserve">, os componentes compartilhados, os utilitários de foto, todas as páginas e, por fim, o </w:t>
      </w:r>
      <w:r>
        <w:rPr>
          <w:rFonts w:ascii="Calibri" w:hAnsi="Calibri"/>
          <w:i/>
          <w:color w:val="0A0A0A"/>
          <w:sz w:val="21"/>
        </w:rPr>
        <w:t>app shell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App.jsx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consequência arquitetural desse modelo é importante: como não há empacotador nem sistema de módulos ES, os arquivos compartilham o </w:t>
      </w:r>
      <w:r>
        <w:rPr>
          <w:rFonts w:ascii="Calibri" w:hAnsi="Calibri"/>
          <w:b/>
          <w:color w:val="0A0A0A"/>
          <w:sz w:val="21"/>
        </w:rPr>
        <w:t>escopo global do navegador</w:t>
      </w:r>
      <w:r>
        <w:rPr>
          <w:rFonts w:ascii="Calibri" w:hAnsi="Calibri"/>
          <w:b w:val="0"/>
          <w:i w:val="0"/>
          <w:color w:val="0A0A0A"/>
          <w:sz w:val="21"/>
        </w:rPr>
        <w:t xml:space="preserve">. Os componentes e utilitários são expostos como funções/objetos globais (por exemplo, </w:t>
      </w:r>
      <w:r>
        <w:rPr>
          <w:rFonts w:ascii="Consolas" w:hAnsi="Consolas"/>
          <w:color w:val="1F1F1F"/>
          <w:sz w:val="19"/>
          <w:shd w:val="clear" w:color="auto" w:fill="F4F4F4"/>
        </w:rPr>
        <w:t>api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Icon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FotoStore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window.gerarLaudoPDF</w:t>
      </w:r>
      <w:r>
        <w:rPr>
          <w:rFonts w:ascii="Calibri" w:hAnsi="Calibri"/>
          <w:b w:val="0"/>
          <w:i w:val="0"/>
          <w:color w:val="0A0A0A"/>
          <w:sz w:val="21"/>
        </w:rPr>
        <w:t xml:space="preserve">), e a ordem de inclusão dos </w:t>
      </w:r>
      <w:r>
        <w:rPr>
          <w:rFonts w:ascii="Consolas" w:hAnsi="Consolas"/>
          <w:color w:val="1F1F1F"/>
          <w:sz w:val="19"/>
          <w:shd w:val="clear" w:color="auto" w:fill="F4F4F4"/>
        </w:rPr>
        <w:t>&lt;script&gt;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 xml:space="preserve"> define a ordem de disponibilidade. O </w:t>
      </w:r>
      <w:r>
        <w:rPr>
          <w:rFonts w:ascii="Consolas" w:hAnsi="Consolas"/>
          <w:color w:val="1F1F1F"/>
          <w:sz w:val="19"/>
          <w:shd w:val="clear" w:color="auto" w:fill="F4F4F4"/>
        </w:rPr>
        <w:t>icons.jsx</w:t>
      </w:r>
      <w:r>
        <w:rPr>
          <w:rFonts w:ascii="Calibri" w:hAnsi="Calibri"/>
          <w:b w:val="0"/>
          <w:i w:val="0"/>
          <w:color w:val="0A0A0A"/>
          <w:sz w:val="21"/>
        </w:rPr>
        <w:t xml:space="preserve"> cria um </w:t>
      </w:r>
      <w:r>
        <w:rPr>
          <w:rFonts w:ascii="Calibri" w:hAnsi="Calibri"/>
          <w:i/>
          <w:color w:val="0A0A0A"/>
          <w:sz w:val="21"/>
        </w:rPr>
        <w:t>alias</w:t>
      </w:r>
      <w:r>
        <w:rPr>
          <w:rFonts w:ascii="Calibri" w:hAnsi="Calibri"/>
          <w:b w:val="0"/>
          <w:i w:val="0"/>
          <w:color w:val="0A0A0A"/>
          <w:sz w:val="21"/>
        </w:rPr>
        <w:t xml:space="preserve"> dos </w:t>
      </w:r>
      <w:r>
        <w:rPr>
          <w:rFonts w:ascii="Calibri" w:hAnsi="Calibri"/>
          <w:i/>
          <w:color w:val="0A0A0A"/>
          <w:sz w:val="21"/>
        </w:rPr>
        <w:t>hooks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React (</w:t>
      </w:r>
      <w:r>
        <w:rPr>
          <w:rFonts w:ascii="Consolas" w:hAnsi="Consolas"/>
          <w:color w:val="1F1F1F"/>
          <w:sz w:val="19"/>
          <w:shd w:val="clear" w:color="auto" w:fill="F4F4F4"/>
        </w:rPr>
        <w:t>const { useState, useEffect, ... } = React</w:t>
      </w:r>
      <w:r>
        <w:rPr>
          <w:rFonts w:ascii="Calibri" w:hAnsi="Calibri"/>
          <w:b w:val="0"/>
          <w:i w:val="0"/>
          <w:color w:val="0A0A0A"/>
          <w:sz w:val="21"/>
        </w:rPr>
        <w:t>) para uso nas páginas.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8.2 O app shell e a navegação</w:t>
      </w:r>
    </w:p>
    <w:p>
      <w:pPr>
        <w:spacing w:after="140"/>
        <w:jc w:val="both"/>
        <w:widowControl w:val="true"/>
      </w:pPr>
      <w:r>
        <w:rPr>
          <w:rFonts w:ascii="Consolas" w:hAnsi="Consolas"/>
          <w:color w:val="1F1F1F"/>
          <w:sz w:val="19"/>
          <w:shd w:val="clear" w:color="auto" w:fill="F4F4F4"/>
        </w:rPr>
        <w:t>App.jsx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o componente raiz. Ele administra: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Sessão</w:t>
      </w:r>
      <w:r>
        <w:rPr>
          <w:rFonts w:ascii="Calibri" w:hAnsi="Calibri"/>
          <w:b w:val="0"/>
          <w:i w:val="0"/>
          <w:color w:val="0A0A0A"/>
          <w:sz w:val="21"/>
        </w:rPr>
        <w:t xml:space="preserve">: ao recarregar a página, restaura a sessão a partir do JWT guardado em </w:t>
      </w:r>
      <w:r>
        <w:rPr>
          <w:rFonts w:ascii="Consolas" w:hAnsi="Consolas"/>
          <w:color w:val="1F1F1F"/>
          <w:sz w:val="19"/>
          <w:shd w:val="clear" w:color="auto" w:fill="F4F4F4"/>
        </w:rPr>
        <w:t>sessionStorage</w:t>
      </w:r>
      <w:r>
        <w:rPr>
          <w:rFonts w:ascii="Calibri" w:hAnsi="Calibri"/>
          <w:b w:val="0"/>
          <w:i w:val="0"/>
          <w:color w:val="0A0A0A"/>
          <w:sz w:val="21"/>
        </w:rPr>
        <w:t>. Se não houver token, renderiza a tela de login.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Navegação</w:t>
      </w:r>
      <w:r>
        <w:rPr>
          <w:rFonts w:ascii="Calibri" w:hAnsi="Calibri"/>
          <w:b w:val="0"/>
          <w:i w:val="0"/>
          <w:color w:val="0A0A0A"/>
          <w:sz w:val="21"/>
        </w:rPr>
        <w:t>: não há biblioteca de roteamento. A navegação é controlada por estado (</w:t>
      </w:r>
      <w:r>
        <w:rPr>
          <w:rFonts w:ascii="Consolas" w:hAnsi="Consolas"/>
          <w:color w:val="1F1F1F"/>
          <w:sz w:val="19"/>
          <w:shd w:val="clear" w:color="auto" w:fill="F4F4F4"/>
        </w:rPr>
        <w:t>useState</w:t>
      </w:r>
      <w:r>
        <w:rPr>
          <w:rFonts w:ascii="Calibri" w:hAnsi="Calibri"/>
          <w:b w:val="0"/>
          <w:i w:val="0"/>
          <w:color w:val="0A0A0A"/>
          <w:sz w:val="21"/>
        </w:rPr>
        <w:t xml:space="preserve">), alternando entre as páginas </w:t>
      </w:r>
      <w:r>
        <w:rPr>
          <w:rFonts w:ascii="Consolas" w:hAnsi="Consolas"/>
          <w:color w:val="1F1F1F"/>
          <w:sz w:val="19"/>
          <w:shd w:val="clear" w:color="auto" w:fill="F4F4F4"/>
        </w:rPr>
        <w:t>dashboard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agenda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config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usuarios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página de Usuários só é renderizada para o usuário do tipo </w:t>
      </w:r>
      <w:r>
        <w:rPr>
          <w:rFonts w:ascii="Consolas" w:hAnsi="Consolas"/>
          <w:color w:val="1F1F1F"/>
          <w:sz w:val="19"/>
          <w:shd w:val="clear" w:color="auto" w:fill="F4F4F4"/>
        </w:rPr>
        <w:t>admin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Tema</w:t>
      </w:r>
      <w:r>
        <w:rPr>
          <w:rFonts w:ascii="Calibri" w:hAnsi="Calibri"/>
          <w:b w:val="0"/>
          <w:i w:val="0"/>
          <w:color w:val="0A0A0A"/>
          <w:sz w:val="21"/>
        </w:rPr>
        <w:t xml:space="preserve">: alterna entre claro e escuro, persistindo a preferência em </w:t>
      </w:r>
      <w:r>
        <w:rPr>
          <w:rFonts w:ascii="Consolas" w:hAnsi="Consolas"/>
          <w:color w:val="1F1F1F"/>
          <w:sz w:val="19"/>
          <w:shd w:val="clear" w:color="auto" w:fill="F4F4F4"/>
        </w:rPr>
        <w:t>localStorage</w:t>
      </w:r>
      <w:r>
        <w:rPr>
          <w:rFonts w:ascii="Calibri" w:hAnsi="Calibri"/>
          <w:b w:val="0"/>
          <w:i w:val="0"/>
          <w:color w:val="0A0A0A"/>
          <w:sz w:val="21"/>
        </w:rPr>
        <w:t xml:space="preserve"> (o tema é pré-aplicado já no </w:t>
      </w:r>
      <w:r>
        <w:rPr>
          <w:rFonts w:ascii="Consolas" w:hAnsi="Consolas"/>
          <w:color w:val="1F1F1F"/>
          <w:sz w:val="19"/>
          <w:shd w:val="clear" w:color="auto" w:fill="F4F4F4"/>
        </w:rPr>
        <w:t>&lt;head&gt;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evitar cintilação na primeira pintura).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Expiração de sessão</w:t>
      </w:r>
      <w:r>
        <w:rPr>
          <w:rFonts w:ascii="Calibri" w:hAnsi="Calibri"/>
          <w:b w:val="0"/>
          <w:i w:val="0"/>
          <w:color w:val="0A0A0A"/>
          <w:sz w:val="21"/>
        </w:rPr>
        <w:t xml:space="preserve">: registra um </w:t>
      </w:r>
      <w:r>
        <w:rPr>
          <w:rFonts w:ascii="Calibri" w:hAnsi="Calibri"/>
          <w:i/>
          <w:color w:val="0A0A0A"/>
          <w:sz w:val="21"/>
        </w:rPr>
        <w:t>callback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api.onUnauthorized</w:t>
      </w:r>
      <w:r>
        <w:rPr>
          <w:rFonts w:ascii="Calibri" w:hAnsi="Calibri"/>
          <w:b w:val="0"/>
          <w:i w:val="0"/>
          <w:color w:val="0A0A0A"/>
          <w:sz w:val="21"/>
        </w:rPr>
        <w:t xml:space="preserve"> que, ao receber HTTP 401 de qualquer chamada, limpa a sessão e retorna à tela de login.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8.3 O cliente de API único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Toda a comunicação com o back-end passa por </w:t>
      </w:r>
      <w:r>
        <w:rPr>
          <w:rFonts w:ascii="Consolas" w:hAnsi="Consolas"/>
          <w:color w:val="1F1F1F"/>
          <w:sz w:val="19"/>
          <w:shd w:val="clear" w:color="auto" w:fill="F4F4F4"/>
        </w:rPr>
        <w:t>frontend/src/api/client.js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nenhum componente chama </w:t>
      </w:r>
      <w:r>
        <w:rPr>
          <w:rFonts w:ascii="Consolas" w:hAnsi="Consolas"/>
          <w:color w:val="1F1F1F"/>
          <w:sz w:val="19"/>
          <w:shd w:val="clear" w:color="auto" w:fill="F4F4F4"/>
        </w:rPr>
        <w:t>fetch()</w:t>
      </w:r>
      <w:r>
        <w:rPr>
          <w:rFonts w:ascii="Calibri" w:hAnsi="Calibri"/>
          <w:b w:val="0"/>
          <w:i w:val="0"/>
          <w:color w:val="0A0A0A"/>
          <w:sz w:val="21"/>
        </w:rPr>
        <w:t xml:space="preserve"> diretamente. Esta concentração é justamente a materialização do ADR-0001. O módulo expõe um objeto </w:t>
      </w:r>
      <w:r>
        <w:rPr>
          <w:rFonts w:ascii="Consolas" w:hAnsi="Consolas"/>
          <w:color w:val="1F1F1F"/>
          <w:sz w:val="19"/>
          <w:shd w:val="clear" w:color="auto" w:fill="F4F4F4"/>
        </w:rPr>
        <w:t>api</w:t>
      </w:r>
      <w:r>
        <w:rPr>
          <w:rFonts w:ascii="Calibri" w:hAnsi="Calibri"/>
          <w:b w:val="0"/>
          <w:i w:val="0"/>
          <w:color w:val="0A0A0A"/>
          <w:sz w:val="21"/>
        </w:rPr>
        <w:t xml:space="preserve"> que: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Mantém o token JWT em memória e em </w:t>
      </w:r>
      <w:r>
        <w:rPr>
          <w:rFonts w:ascii="Consolas" w:hAnsi="Consolas"/>
          <w:color w:val="1F1F1F"/>
          <w:sz w:val="19"/>
          <w:shd w:val="clear" w:color="auto" w:fill="F4F4F4"/>
        </w:rPr>
        <w:t>sessionStorage</w:t>
      </w:r>
      <w:r>
        <w:rPr>
          <w:rFonts w:ascii="Calibri" w:hAnsi="Calibri"/>
          <w:b w:val="0"/>
          <w:i w:val="0"/>
          <w:color w:val="0A0A0A"/>
          <w:sz w:val="21"/>
        </w:rPr>
        <w:t xml:space="preserve">; expõe </w:t>
      </w:r>
      <w:r>
        <w:rPr>
          <w:rFonts w:ascii="Consolas" w:hAnsi="Consolas"/>
          <w:color w:val="1F1F1F"/>
          <w:sz w:val="19"/>
          <w:shd w:val="clear" w:color="auto" w:fill="F4F4F4"/>
        </w:rPr>
        <w:t>getUser()</w:t>
      </w:r>
      <w:r>
        <w:rPr>
          <w:rFonts w:ascii="Calibri" w:hAnsi="Calibri"/>
          <w:b w:val="0"/>
          <w:i w:val="0"/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color="auto" w:fill="F4F4F4"/>
        </w:rPr>
        <w:t>setSession()</w:t>
      </w:r>
      <w:r>
        <w:rPr>
          <w:rFonts w:ascii="Calibri" w:hAnsi="Calibri"/>
          <w:b w:val="0"/>
          <w:i w:val="0"/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color="auto" w:fill="F4F4F4"/>
        </w:rPr>
        <w:t>clearSession()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Possui um auxiliar central </w:t>
      </w:r>
      <w:r>
        <w:rPr>
          <w:rFonts w:ascii="Consolas" w:hAnsi="Consolas"/>
          <w:color w:val="1F1F1F"/>
          <w:sz w:val="19"/>
          <w:shd w:val="clear" w:color="auto" w:fill="F4F4F4"/>
        </w:rPr>
        <w:t>_request()</w:t>
      </w:r>
      <w:r>
        <w:rPr>
          <w:rFonts w:ascii="Calibri" w:hAnsi="Calibri"/>
          <w:b w:val="0"/>
          <w:i w:val="0"/>
          <w:color w:val="0A0A0A"/>
          <w:sz w:val="21"/>
        </w:rPr>
        <w:t xml:space="preserve"> que injeta o cabeçalho </w:t>
      </w:r>
      <w:r>
        <w:rPr>
          <w:rFonts w:ascii="Consolas" w:hAnsi="Consolas"/>
          <w:color w:val="1F1F1F"/>
          <w:sz w:val="19"/>
          <w:shd w:val="clear" w:color="auto" w:fill="F4F4F4"/>
        </w:rPr>
        <w:t>Authorization: Bearer &lt;token&gt;</w:t>
      </w:r>
      <w:r>
        <w:rPr>
          <w:rFonts w:ascii="Calibri" w:hAnsi="Calibri"/>
          <w:b w:val="0"/>
          <w:i w:val="0"/>
          <w:color w:val="0A0A0A"/>
          <w:sz w:val="21"/>
        </w:rPr>
        <w:t xml:space="preserve">, serializa o corpo em JSON, e trata respostas: em 401 limpa a sessão e dispara </w:t>
      </w:r>
      <w:r>
        <w:rPr>
          <w:rFonts w:ascii="Consolas" w:hAnsi="Consolas"/>
          <w:color w:val="1F1F1F"/>
          <w:sz w:val="19"/>
          <w:shd w:val="clear" w:color="auto" w:fill="F4F4F4"/>
        </w:rPr>
        <w:t>onUnauthorized</w:t>
      </w:r>
      <w:r>
        <w:rPr>
          <w:rFonts w:ascii="Calibri" w:hAnsi="Calibri"/>
          <w:b w:val="0"/>
          <w:i w:val="0"/>
          <w:color w:val="0A0A0A"/>
          <w:sz w:val="21"/>
        </w:rPr>
        <w:t xml:space="preserve">; em erro, lança uma exceção com </w:t>
      </w:r>
      <w:r>
        <w:rPr>
          <w:rFonts w:ascii="Consolas" w:hAnsi="Consolas"/>
          <w:color w:val="1F1F1F"/>
          <w:sz w:val="19"/>
          <w:shd w:val="clear" w:color="auto" w:fill="F4F4F4"/>
        </w:rPr>
        <w:t>status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detail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Implementa o login no fluxo OAuth2 </w:t>
      </w:r>
      <w:r>
        <w:rPr>
          <w:rFonts w:ascii="Calibri" w:hAnsi="Calibri"/>
          <w:i/>
          <w:color w:val="0A0A0A"/>
          <w:sz w:val="21"/>
        </w:rPr>
        <w:t>password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application/x-www-form-urlencoded</w:t>
      </w:r>
      <w:r>
        <w:rPr>
          <w:rFonts w:ascii="Calibri" w:hAnsi="Calibri"/>
          <w:b w:val="0"/>
          <w:i w:val="0"/>
          <w:color w:val="0A0A0A"/>
          <w:sz w:val="21"/>
        </w:rPr>
        <w:t xml:space="preserve">, campos </w:t>
      </w:r>
      <w:r>
        <w:rPr>
          <w:rFonts w:ascii="Consolas" w:hAnsi="Consolas"/>
          <w:color w:val="1F1F1F"/>
          <w:sz w:val="19"/>
          <w:shd w:val="clear" w:color="auto" w:fill="F4F4F4"/>
        </w:rPr>
        <w:t>username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password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Oferece métodos de domínio nomeados para cada recurso: pacientes (listar, criar, detalhe, arquivar/reativar, excluir, foto), avaliações, sintomas, acompanhantes, dashboard, relatórios, agendamentos e usuários (admin).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base da API tem valor padrão </w:t>
      </w:r>
      <w:r>
        <w:rPr>
          <w:rFonts w:ascii="Consolas" w:hAnsi="Consolas"/>
          <w:color w:val="1F1F1F"/>
          <w:sz w:val="19"/>
          <w:shd w:val="clear" w:color="auto" w:fill="F4F4F4"/>
        </w:rPr>
        <w:t>'/api/v1'</w:t>
      </w:r>
      <w:r>
        <w:rPr>
          <w:rFonts w:ascii="Calibri" w:hAnsi="Calibri"/>
          <w:b w:val="0"/>
          <w:i w:val="0"/>
          <w:color w:val="0A0A0A"/>
          <w:sz w:val="21"/>
        </w:rPr>
        <w:t xml:space="preserve"> (mesma origem). Para apontar o front a outro host, define-se </w:t>
      </w:r>
      <w:r>
        <w:rPr>
          <w:rFonts w:ascii="Consolas" w:hAnsi="Consolas"/>
          <w:color w:val="1F1F1F"/>
          <w:sz w:val="19"/>
          <w:shd w:val="clear" w:color="auto" w:fill="F4F4F4"/>
        </w:rPr>
        <w:t>window.CITO_API_BASE</w:t>
      </w:r>
      <w:r>
        <w:rPr>
          <w:rFonts w:ascii="Calibri" w:hAnsi="Calibri"/>
          <w:b w:val="0"/>
          <w:i w:val="0"/>
          <w:color w:val="0A0A0A"/>
          <w:sz w:val="21"/>
        </w:rPr>
        <w:t xml:space="preserve"> antes do carregamento de </w:t>
      </w:r>
      <w:r>
        <w:rPr>
          <w:rFonts w:ascii="Consolas" w:hAnsi="Consolas"/>
          <w:color w:val="1F1F1F"/>
          <w:sz w:val="19"/>
          <w:shd w:val="clear" w:color="auto" w:fill="F4F4F4"/>
        </w:rPr>
        <w:t>client.js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8.4 As páginas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214"/>
        <w:gridCol w:w="7145"/>
      </w:tblGrid>
      <w:tr>
        <w:trPr>
          <w:tblHeader/>
          <w:cantSplit/>
        </w:trPr>
        <w:tc>
          <w:tcPr>
            <w:tcW w:type="dxa" w:w="221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Página</w:t>
            </w:r>
          </w:p>
        </w:tc>
        <w:tc>
          <w:tcPr>
            <w:tcW w:type="dxa" w:w="714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Login.jsx</w:t>
            </w:r>
          </w:p>
        </w:tc>
        <w:tc>
          <w:tcPr>
            <w:tcW w:type="dxa" w:w="714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Autenticação; chama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api.login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, trata credenciais inválidas e estados de carregamento</w:t>
            </w:r>
          </w:p>
        </w:tc>
      </w:tr>
      <w:tr>
        <w:trPr>
          <w:cantSplit/>
        </w:trPr>
        <w:tc>
          <w:tcPr>
            <w:tcW w:type="dxa" w:w="221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Dashboard.jsx</w:t>
            </w:r>
          </w:p>
        </w:tc>
        <w:tc>
          <w:tcPr>
            <w:tcW w:type="dxa" w:w="714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Visão geral operacional do médico; consome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dashboard/summary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; modal de reagendamento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Pacientes.jsx</w:t>
            </w:r>
          </w:p>
        </w:tc>
        <w:tc>
          <w:tcPr>
            <w:tcW w:type="dxa" w:w="714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Cadastro, listagem, prontuário, arquivamento e exclusão de pacientes; gestão de foto e reimpressão de laudo</w:t>
            </w:r>
          </w:p>
        </w:tc>
      </w:tr>
      <w:tr>
        <w:trPr>
          <w:cantSplit/>
        </w:trPr>
        <w:tc>
          <w:tcPr>
            <w:tcW w:type="dxa" w:w="221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Triagem.jsx</w:t>
            </w:r>
          </w:p>
        </w:tc>
        <w:tc>
          <w:tcPr>
            <w:tcW w:type="dxa" w:w="714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Núcleo clínico: busca de paciente, checklist de sintomas, histórico familiar, prévia local de escore e submissão da avaliação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Agenda.jsx</w:t>
            </w:r>
          </w:p>
        </w:tc>
        <w:tc>
          <w:tcPr>
            <w:tcW w:type="dxa" w:w="714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Agenda de compromissos; criar, editar e cancelar agendamentos</w:t>
            </w:r>
          </w:p>
        </w:tc>
      </w:tr>
      <w:tr>
        <w:trPr>
          <w:cantSplit/>
        </w:trPr>
        <w:tc>
          <w:tcPr>
            <w:tcW w:type="dxa" w:w="221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Config.jsx</w:t>
            </w:r>
          </w:p>
        </w:tc>
        <w:tc>
          <w:tcPr>
            <w:tcW w:type="dxa" w:w="714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Configurações e relatórios (gráficos de atividade a partir de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relatorios/avaliacoes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214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Usuarios.jsx</w:t>
            </w:r>
          </w:p>
        </w:tc>
        <w:tc>
          <w:tcPr>
            <w:tcW w:type="dxa" w:w="714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Gestão de médicos (somente admin); criar, ativar/desativar e excluir usuários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Os componentes compartilhados são </w:t>
      </w:r>
      <w:r>
        <w:rPr>
          <w:rFonts w:ascii="Consolas" w:hAnsi="Consolas"/>
          <w:color w:val="1F1F1F"/>
          <w:sz w:val="19"/>
          <w:shd w:val="clear" w:color="auto" w:fill="F4F4F4"/>
        </w:rPr>
        <w:t>Sidebar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Topbar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ThemeToggle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CalendarWidget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Logo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Base</w:t>
      </w:r>
      <w:r>
        <w:rPr>
          <w:rFonts w:ascii="Calibri" w:hAnsi="Calibri"/>
          <w:b w:val="0"/>
          <w:i w:val="0"/>
          <w:color w:val="0A0A0A"/>
          <w:sz w:val="21"/>
        </w:rPr>
        <w:t xml:space="preserve"> (primitivas de UI). O sistema de design é estritamente preto e branco, com tokens CSS para temas claro e escuro.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8.5 O escore de prévia no cliente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tela de Triagem calcula um </w:t>
      </w:r>
      <w:r>
        <w:rPr>
          <w:rFonts w:ascii="Calibri" w:hAnsi="Calibri"/>
          <w:b/>
          <w:color w:val="0A0A0A"/>
          <w:sz w:val="21"/>
        </w:rPr>
        <w:t>escore local apenas para prévia</w:t>
      </w:r>
      <w:r>
        <w:rPr>
          <w:rFonts w:ascii="Calibri" w:hAnsi="Calibri"/>
          <w:b w:val="0"/>
          <w:i w:val="0"/>
          <w:color w:val="0A0A0A"/>
          <w:sz w:val="21"/>
        </w:rPr>
        <w:t xml:space="preserve"> na tela de revisão: usa o catálogo de sintomas com pesos por sexo e limiares constantes (</w:t>
      </w:r>
      <w:r>
        <w:rPr>
          <w:rFonts w:ascii="Consolas" w:hAnsi="Consolas"/>
          <w:color w:val="1F1F1F"/>
          <w:sz w:val="19"/>
          <w:shd w:val="clear" w:color="auto" w:fill="F4F4F4"/>
        </w:rPr>
        <w:t>LIMIAR_M = 0.56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LIMIAR_F = 0.55</w:t>
      </w:r>
      <w:r>
        <w:rPr>
          <w:rFonts w:ascii="Calibri" w:hAnsi="Calibri"/>
          <w:b w:val="0"/>
          <w:i w:val="0"/>
          <w:color w:val="0A0A0A"/>
          <w:sz w:val="21"/>
        </w:rPr>
        <w:t xml:space="preserve">) para antecipar o resultado ao médico. </w:t>
      </w:r>
      <w:r>
        <w:rPr>
          <w:rFonts w:ascii="Calibri" w:hAnsi="Calibri"/>
          <w:b/>
          <w:color w:val="0A0A0A"/>
          <w:sz w:val="21"/>
        </w:rPr>
        <w:t>O valor que vale, porém, é o que o back-end devolve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o front-end apenas exibe a prévia e, ao submeter, confia no escore calculado pela função do banco. Esse cuidado evita reintroduzir a divergência histórica em que o cliente reimplementava a regra de negócio.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8.6 Geração de laudo (PDF)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laudo de triagem é gerado </w:t>
      </w:r>
      <w:r>
        <w:rPr>
          <w:rFonts w:ascii="Calibri" w:hAnsi="Calibri"/>
          <w:b/>
          <w:color w:val="0A0A0A"/>
          <w:sz w:val="21"/>
        </w:rPr>
        <w:t>no cliente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, em JavaScript puro, pela função </w:t>
      </w:r>
      <w:r>
        <w:rPr>
          <w:rFonts w:ascii="Consolas" w:hAnsi="Consolas"/>
          <w:color w:val="1F1F1F"/>
          <w:sz w:val="19"/>
          <w:shd w:val="clear" w:color="auto" w:fill="F4F4F4"/>
        </w:rPr>
        <w:t>window.gerarLaudoPDF</w:t>
      </w:r>
      <w:r>
        <w:rPr>
          <w:rFonts w:ascii="Calibri" w:hAnsi="Calibri"/>
          <w:b w:val="0"/>
          <w:i w:val="0"/>
          <w:color w:val="0A0A0A"/>
          <w:sz w:val="21"/>
        </w:rPr>
        <w:t xml:space="preserve"> definida em </w:t>
      </w:r>
      <w:r>
        <w:rPr>
          <w:rFonts w:ascii="Consolas" w:hAnsi="Consolas"/>
          <w:color w:val="1F1F1F"/>
          <w:sz w:val="19"/>
          <w:shd w:val="clear" w:color="auto" w:fill="F4F4F4"/>
        </w:rPr>
        <w:t>frontend/src/lib/laudo.js</w:t>
      </w:r>
      <w:r>
        <w:rPr>
          <w:rFonts w:ascii="Calibri" w:hAnsi="Calibri"/>
          <w:b w:val="0"/>
          <w:i w:val="0"/>
          <w:color w:val="0A0A0A"/>
          <w:sz w:val="21"/>
        </w:rPr>
        <w:t xml:space="preserve"> (usando jsPDF). O módulo é compartilhado: a Triagem gera o laudo ao finalizar a avaliação e a tela de Pacientes reimprime o mesmo laudo de uma avaliação já registrada (consumindo o detalhe de avaliação </w:t>
      </w:r>
      <w:r>
        <w:rPr>
          <w:rFonts w:ascii="Consolas" w:hAnsi="Consolas"/>
          <w:color w:val="1F1F1F"/>
          <w:sz w:val="19"/>
          <w:shd w:val="clear" w:color="auto" w:fill="F4F4F4"/>
        </w:rPr>
        <w:t>GET /avaliacoes/{id}</w:t>
      </w:r>
      <w:r>
        <w:rPr>
          <w:rFonts w:ascii="Calibri" w:hAnsi="Calibri"/>
          <w:b w:val="0"/>
          <w:i w:val="0"/>
          <w:color w:val="0A0A0A"/>
          <w:sz w:val="21"/>
        </w:rPr>
        <w:t>). O layout imita um formulário clínico em preto e branco, com cabeçalho institucional, tabelas de sintomas e histórico e área de assinatura.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9. Interação front-end e back-end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comunicação é HTTP/JSON, autenticada por </w:t>
      </w:r>
      <w:r>
        <w:rPr>
          <w:rFonts w:ascii="Calibri" w:hAnsi="Calibri"/>
          <w:i/>
          <w:color w:val="0A0A0A"/>
          <w:sz w:val="21"/>
        </w:rPr>
        <w:t>Bearer token</w:t>
      </w:r>
      <w:r>
        <w:rPr>
          <w:rFonts w:ascii="Calibri" w:hAnsi="Calibri"/>
          <w:b w:val="0"/>
          <w:i w:val="0"/>
          <w:color w:val="0A0A0A"/>
          <w:sz w:val="21"/>
        </w:rPr>
        <w:t xml:space="preserve"> (JWT). O contrato é estável e validado em duas frentes: pelos schemas Pydantic com </w:t>
      </w:r>
      <w:r>
        <w:rPr>
          <w:rFonts w:ascii="Consolas" w:hAnsi="Consolas"/>
          <w:color w:val="1F1F1F"/>
          <w:sz w:val="19"/>
          <w:shd w:val="clear" w:color="auto" w:fill="F4F4F4"/>
        </w:rPr>
        <w:t>extra="forbid"</w:t>
      </w:r>
      <w:r>
        <w:rPr>
          <w:rFonts w:ascii="Calibri" w:hAnsi="Calibri"/>
          <w:b w:val="0"/>
          <w:i w:val="0"/>
          <w:color w:val="0A0A0A"/>
          <w:sz w:val="21"/>
        </w:rPr>
        <w:t xml:space="preserve"> (que rejeitam campos inesperados) e pelo guarda estático </w:t>
      </w:r>
      <w:r>
        <w:rPr>
          <w:rFonts w:ascii="Consolas" w:hAnsi="Consolas"/>
          <w:color w:val="1F1F1F"/>
          <w:sz w:val="19"/>
          <w:shd w:val="clear" w:color="auto" w:fill="F4F4F4"/>
        </w:rPr>
        <w:t>scripts/check_contract.py</w:t>
      </w:r>
      <w:r>
        <w:rPr>
          <w:rFonts w:ascii="Calibri" w:hAnsi="Calibri"/>
          <w:b w:val="0"/>
          <w:i w:val="0"/>
          <w:color w:val="0A0A0A"/>
          <w:sz w:val="21"/>
        </w:rPr>
        <w:t>, que confere — sem precisar de banco — que todo endpoint consumido pelo front existe no back e que payloads representativos validam contra os schemas.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9.1 Contrato de endpoints (principais)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567"/>
        <w:gridCol w:w="4058"/>
        <w:gridCol w:w="2733"/>
      </w:tblGrid>
      <w:tr>
        <w:trPr>
          <w:tblHeader/>
          <w:cantSplit/>
        </w:trPr>
        <w:tc>
          <w:tcPr>
            <w:tcW w:type="dxa" w:w="256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Método</w:t>
            </w:r>
          </w:p>
        </w:tc>
        <w:tc>
          <w:tcPr>
            <w:tcW w:type="dxa" w:w="405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Rota</w:t>
            </w:r>
          </w:p>
        </w:tc>
        <w:tc>
          <w:tcPr>
            <w:tcW w:type="dxa" w:w="273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Front que consome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POST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/auth/login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(form-urlencoded)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Login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POST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/auth/logout?sessao_id=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App shell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/sintomas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Triagem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(nome, cpf, incluir_inativos, limit, offset)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Pacientes, Triagem, Agenda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POST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Pacientes, Triagem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/pacientes/{id}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 (prontuário)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PATCH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/pacientes/{id}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 (arquivar/reativar)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DELETE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/pacientes/{id}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 (exclusão com senha)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POST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/pacientes/{id}/foto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· DELETE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/pacientes/{id}/foto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 (foto)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/pacientes/{id}/historico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POST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/avaliacoes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Triagem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/avaliacoes/{id}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 (reimpressão de laudo)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/dashboard/summary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Dashboard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/dashboard/stats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· POST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/dashboard/refresh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Analytics / admin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/relatorios/avaliacoes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Configurações (Relatórios)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GET/POST/PATCH/DELETE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/agendamentos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Agenda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/acompanhantes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Seleção em formulários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GET/POST/PATCH/DELETE</w:t>
            </w:r>
          </w:p>
        </w:tc>
        <w:tc>
          <w:tcPr>
            <w:tcW w:type="dxa" w:w="405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/usuarios</w:t>
            </w:r>
          </w:p>
        </w:tc>
        <w:tc>
          <w:tcPr>
            <w:tcW w:type="dxa" w:w="27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Usuários (admin)</w:t>
            </w:r>
          </w:p>
        </w:tc>
      </w:tr>
      <w:tr>
        <w:trPr>
          <w:cantSplit/>
        </w:trPr>
        <w:tc>
          <w:tcPr>
            <w:tcW w:type="dxa" w:w="256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GET</w:t>
            </w:r>
          </w:p>
        </w:tc>
        <w:tc>
          <w:tcPr>
            <w:tcW w:type="dxa" w:w="405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/health</w:t>
            </w:r>
          </w:p>
        </w:tc>
        <w:tc>
          <w:tcPr>
            <w:tcW w:type="dxa" w:w="27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Infraestrutura</w:t>
            </w:r>
          </w:p>
        </w:tc>
      </w:tr>
    </w:tbl>
    <w:p>
      <w:pPr>
        <w:spacing w:after="40" w:before="0"/>
      </w:pP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Observação de fidelidade ao código: o cofre de arquitetura descrevia oito routers; o código atual registra </w:t>
      </w:r>
      <w:r>
        <w:rPr>
          <w:rFonts w:ascii="Calibri" w:hAnsi="Calibri"/>
          <w:b/>
          <w:color w:val="5A5A5A"/>
          <w:sz w:val="21"/>
        </w:rPr>
        <w:t>nove</w:t>
      </w:r>
      <w:r>
        <w:rPr>
          <w:rFonts w:ascii="Calibri" w:hAnsi="Calibri"/>
          <w:b w:val="0"/>
          <w:i/>
          <w:color w:val="5A5A5A"/>
          <w:sz w:val="21"/>
        </w:rPr>
        <w:t xml:space="preserve"> (foi acrescentado o router </w:t>
      </w:r>
      <w:r>
        <w:rPr>
          <w:rFonts w:ascii="Consolas" w:hAnsi="Consolas"/>
          <w:color w:val="1F1F1F"/>
          <w:sz w:val="19"/>
          <w:shd w:val="clear" w:color="auto" w:fill="F4F4F4"/>
        </w:rPr>
        <w:t>users</w:t>
      </w:r>
      <w:r>
        <w:rPr>
          <w:rFonts w:ascii="Calibri" w:hAnsi="Calibri"/>
          <w:b w:val="0"/>
          <w:i/>
          <w:color w:val="5A5A5A"/>
          <w:sz w:val="21"/>
        </w:rPr>
        <w:t>, de gestão de médicos). Da mesma forma, o conjunto de endpoints de pacientes evoluiu para incluir arquivamento, exclusão com confirmação por senha e gestão de foto. Este manual reflete o estado real do código.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9.2 Fluxo de autenticação ponta a ponta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No login, o router de autenticação extrai IP e </w:t>
      </w:r>
      <w:r>
        <w:rPr>
          <w:rFonts w:ascii="Calibri" w:hAnsi="Calibri"/>
          <w:i/>
          <w:color w:val="0A0A0A"/>
          <w:sz w:val="21"/>
        </w:rPr>
        <w:t>user agent</w:t>
      </w:r>
      <w:r>
        <w:rPr>
          <w:rFonts w:ascii="Calibri" w:hAnsi="Calibri"/>
          <w:b w:val="0"/>
          <w:i w:val="0"/>
          <w:color w:val="0A0A0A"/>
          <w:sz w:val="21"/>
        </w:rPr>
        <w:t xml:space="preserve">, aplica a proteção contra força bruta (cinco falhas por IP em dez minutos resultam em HTTP 429), verifica as credenciais (a senha é conferida pelo PostgreSQL via </w:t>
      </w:r>
      <w:r>
        <w:rPr>
          <w:rFonts w:ascii="Consolas" w:hAnsi="Consolas"/>
          <w:color w:val="1F1F1F"/>
          <w:sz w:val="19"/>
          <w:shd w:val="clear" w:color="auto" w:fill="F4F4F4"/>
        </w:rPr>
        <w:t>crypt</w:t>
      </w:r>
      <w:r>
        <w:rPr>
          <w:rFonts w:ascii="Calibri" w:hAnsi="Calibri"/>
          <w:b w:val="0"/>
          <w:i w:val="0"/>
          <w:color w:val="0A0A0A"/>
          <w:sz w:val="21"/>
        </w:rPr>
        <w:t xml:space="preserve">, nunca pelo Python), abre uma sessão em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emite um JWT HS256. O identificador da sessão (</w:t>
      </w:r>
      <w:r>
        <w:rPr>
          <w:rFonts w:ascii="Consolas" w:hAnsi="Consolas"/>
          <w:color w:val="1F1F1F"/>
          <w:sz w:val="19"/>
          <w:shd w:val="clear" w:color="auto" w:fill="F4F4F4"/>
        </w:rPr>
        <w:t>sessao_id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) é gravado dentro do token (claim </w:t>
      </w:r>
      <w:r>
        <w:rPr>
          <w:rFonts w:ascii="Consolas" w:hAnsi="Consolas"/>
          <w:color w:val="1F1F1F"/>
          <w:sz w:val="19"/>
          <w:shd w:val="clear" w:color="auto" w:fill="F4F4F4"/>
        </w:rPr>
        <w:t>sid</w:t>
      </w:r>
      <w:r>
        <w:rPr>
          <w:rFonts w:ascii="Calibri" w:hAnsi="Calibri"/>
          <w:b w:val="0"/>
          <w:i w:val="0"/>
          <w:color w:val="0A0A0A"/>
          <w:sz w:val="21"/>
        </w:rPr>
        <w:t xml:space="preserve">), costurando o token a um registro de sessão auditável. A partir daí, todo endpoint protegido usa </w:t>
      </w:r>
      <w:r>
        <w:rPr>
          <w:rFonts w:ascii="Consolas" w:hAnsi="Consolas"/>
          <w:color w:val="1F1F1F"/>
          <w:sz w:val="19"/>
          <w:shd w:val="clear" w:color="auto" w:fill="F4F4F4"/>
        </w:rPr>
        <w:t>get_current_doctor</w:t>
      </w:r>
      <w:r>
        <w:rPr>
          <w:rFonts w:ascii="Calibri" w:hAnsi="Calibri"/>
          <w:b w:val="0"/>
          <w:i w:val="0"/>
          <w:color w:val="0A0A0A"/>
          <w:sz w:val="21"/>
        </w:rPr>
        <w:t xml:space="preserve">, que valida o token criptograficamente (sem tocar o banco) e devolve a identidade </w:t>
      </w:r>
      <w:r>
        <w:rPr>
          <w:rFonts w:ascii="Consolas" w:hAnsi="Consolas"/>
          <w:color w:val="1F1F1F"/>
          <w:sz w:val="19"/>
          <w:shd w:val="clear" w:color="auto" w:fill="F4F4F4"/>
        </w:rPr>
        <w:t>AuthenticatedDoctor(usuario_id, sessao_id, role)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</w:t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resultante escopa todas as consultas ao médico dono dos dados.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10. Decisões de arquitetura (ADRs)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projeto registra suas decisões de arquitetura em </w:t>
      </w:r>
      <w:r>
        <w:rPr>
          <w:rFonts w:ascii="Consolas" w:hAnsi="Consolas"/>
          <w:color w:val="1F1F1F"/>
          <w:sz w:val="19"/>
          <w:shd w:val="clear" w:color="auto" w:fill="F4F4F4"/>
        </w:rPr>
        <w:t>docs/adr/</w:t>
      </w:r>
      <w:r>
        <w:rPr>
          <w:rFonts w:ascii="Calibri" w:hAnsi="Calibri"/>
          <w:b w:val="0"/>
          <w:i w:val="0"/>
          <w:color w:val="0A0A0A"/>
          <w:sz w:val="21"/>
        </w:rPr>
        <w:t>. As cinco principais: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556"/>
        <w:gridCol w:w="3521"/>
        <w:gridCol w:w="5282"/>
      </w:tblGrid>
      <w:tr>
        <w:trPr>
          <w:tblHeader/>
          <w:cantSplit/>
        </w:trPr>
        <w:tc>
          <w:tcPr>
            <w:tcW w:type="dxa" w:w="55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52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Decisão</w:t>
            </w:r>
          </w:p>
        </w:tc>
        <w:tc>
          <w:tcPr>
            <w:tcW w:type="dxa" w:w="528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Resumo</w:t>
            </w:r>
          </w:p>
        </w:tc>
      </w:tr>
      <w:tr>
        <w:trPr>
          <w:cantSplit/>
        </w:trPr>
        <w:tc>
          <w:tcPr>
            <w:tcW w:type="dxa" w:w="5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0001</w:t>
            </w:r>
          </w:p>
        </w:tc>
        <w:tc>
          <w:tcPr>
            <w:tcW w:type="dxa" w:w="3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Front fala exclusivamente com a API</w:t>
            </w:r>
          </w:p>
        </w:tc>
        <w:tc>
          <w:tcPr>
            <w:tcW w:type="dxa" w:w="52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Fim do acesso direto ao banco no navegador; módulo de rede único; necessidade de CORS</w:t>
            </w:r>
          </w:p>
        </w:tc>
      </w:tr>
      <w:tr>
        <w:trPr>
          <w:cantSplit/>
        </w:trPr>
        <w:tc>
          <w:tcPr>
            <w:tcW w:type="dxa" w:w="5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0002</w:t>
            </w:r>
          </w:p>
        </w:tc>
        <w:tc>
          <w:tcPr>
            <w:tcW w:type="dxa" w:w="3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Dados pessoais tratados na borda da API</w:t>
            </w:r>
          </w:p>
        </w:tc>
        <w:tc>
          <w:tcPr>
            <w:tcW w:type="dxa" w:w="52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Política de exposição de nome/CPF por endpoint; busca de nome no servidor</w:t>
            </w:r>
          </w:p>
        </w:tc>
      </w:tr>
      <w:tr>
        <w:trPr>
          <w:cantSplit/>
        </w:trPr>
        <w:tc>
          <w:tcPr>
            <w:tcW w:type="dxa" w:w="5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0003</w:t>
            </w:r>
          </w:p>
        </w:tc>
        <w:tc>
          <w:tcPr>
            <w:tcW w:type="dxa" w:w="3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Identidade inteira (SERIAL) em vez de UUID</w:t>
            </w:r>
          </w:p>
        </w:tc>
        <w:tc>
          <w:tcPr>
            <w:tcW w:type="dxa" w:w="52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Alinha as entidades ao banco real; mitiga IDOR com filtro por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usuario_id</w:t>
            </w:r>
          </w:p>
        </w:tc>
      </w:tr>
      <w:tr>
        <w:trPr>
          <w:cantSplit/>
        </w:trPr>
        <w:tc>
          <w:tcPr>
            <w:tcW w:type="dxa" w:w="5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0004</w:t>
            </w:r>
          </w:p>
        </w:tc>
        <w:tc>
          <w:tcPr>
            <w:tcW w:type="dxa" w:w="3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Submissão de avaliação consolidada em um endpoint</w:t>
            </w:r>
          </w:p>
        </w:tc>
        <w:tc>
          <w:tcPr>
            <w:tcW w:type="dxa" w:w="52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Atomicidade do fluxo clínico; auditoria best-effort; histórico e encaminhamento fatais</w:t>
            </w:r>
          </w:p>
        </w:tc>
      </w:tr>
      <w:tr>
        <w:trPr>
          <w:cantSplit/>
        </w:trPr>
        <w:tc>
          <w:tcPr>
            <w:tcW w:type="dxa" w:w="5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0005</w:t>
            </w:r>
          </w:p>
        </w:tc>
        <w:tc>
          <w:tcPr>
            <w:tcW w:type="dxa" w:w="3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Dependência da view expor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recomenda_exame</w:t>
            </w:r>
          </w:p>
        </w:tc>
        <w:tc>
          <w:tcPr>
            <w:tcW w:type="dxa" w:w="52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Back lê a coluna em vez de recomputar; banco como fonte da verdade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decisão ADR-0003 (identidade inteira) é a razão pela qual o </w:t>
      </w:r>
      <w:r>
        <w:rPr>
          <w:rFonts w:ascii="Calibri" w:hAnsi="Calibri"/>
          <w:i/>
          <w:color w:val="0A0A0A"/>
          <w:sz w:val="21"/>
        </w:rPr>
        <w:t>scaffolding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UUID ficou órfão, conforme a seção 5. A escolha por identificadores sequenciais introduz risco de IDOR (referência direta a objetos enumeráveis), mitigado porque toda rota exige JWT e filtra as consultas por </w:t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médico dono — regra obrigatória em qualquer rota nova.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11. Atributos de qualidade e invariantes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projeto compromete-se a preservar, em qualquer mudança, um conjunto de invariantes arquiteturais: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A chave PGP é injetada por sessão, nunca armazenada no banco nem fixada no código.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 proteção contra força bruta no </w:t>
      </w:r>
      <w:r>
        <w:rPr>
          <w:rFonts w:ascii="Consolas" w:hAnsi="Consolas"/>
          <w:color w:val="1F1F1F"/>
          <w:sz w:val="19"/>
          <w:shd w:val="clear" w:color="auto" w:fill="F4F4F4"/>
        </w:rPr>
        <w:t>AuthService</w:t>
      </w:r>
      <w:r>
        <w:rPr>
          <w:rFonts w:ascii="Calibri" w:hAnsi="Calibri"/>
          <w:b w:val="0"/>
          <w:i w:val="0"/>
          <w:color w:val="0A0A0A"/>
          <w:sz w:val="21"/>
        </w:rPr>
        <w:t xml:space="preserve"> permanece ativa.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 escore é calculado por </w:t>
      </w:r>
      <w:r>
        <w:rPr>
          <w:rFonts w:ascii="Consolas" w:hAnsi="Consolas"/>
          <w:color w:val="1F1F1F"/>
          <w:sz w:val="19"/>
          <w:shd w:val="clear" w:color="auto" w:fill="F4F4F4"/>
        </w:rPr>
        <w:t>fn_calcular_score_triagem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 (lógica no banco, sem duplicação em Python).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 hierarquia de exceções de domínio e os </w:t>
      </w:r>
      <w:r>
        <w:rPr>
          <w:rFonts w:ascii="Calibri" w:hAnsi="Calibri"/>
          <w:i/>
          <w:color w:val="0A0A0A"/>
          <w:sz w:val="21"/>
        </w:rPr>
        <w:t>handlers</w:t>
      </w:r>
      <w:r>
        <w:rPr>
          <w:rFonts w:ascii="Calibri" w:hAnsi="Calibri"/>
          <w:b w:val="0"/>
          <w:i w:val="0"/>
          <w:color w:val="0A0A0A"/>
          <w:sz w:val="21"/>
        </w:rPr>
        <w:t xml:space="preserve"> HTTP centralizados são mantidos.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Os repositórios não conhecem HTTP; os casos de uso não escrevem SQL.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O acesso ao banco se dá somente pelas views.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Uma propriedade prática decorrente do desenho é a </w:t>
      </w:r>
      <w:r>
        <w:rPr>
          <w:rFonts w:ascii="Calibri" w:hAnsi="Calibri"/>
          <w:b/>
          <w:color w:val="0A0A0A"/>
          <w:sz w:val="21"/>
        </w:rPr>
        <w:t>testabilidade sem banco</w:t>
      </w:r>
      <w:r>
        <w:rPr>
          <w:rFonts w:ascii="Calibri" w:hAnsi="Calibri"/>
          <w:b w:val="0"/>
          <w:i w:val="0"/>
          <w:color w:val="0A0A0A"/>
          <w:sz w:val="21"/>
        </w:rPr>
        <w:t>: como o asyncpg conecta de forma preguiçosa (</w:t>
      </w:r>
      <w:r>
        <w:rPr>
          <w:rFonts w:ascii="Calibri" w:hAnsi="Calibri"/>
          <w:i/>
          <w:color w:val="0A0A0A"/>
          <w:sz w:val="21"/>
        </w:rPr>
        <w:t>lazy</w:t>
      </w:r>
      <w:r>
        <w:rPr>
          <w:rFonts w:ascii="Calibri" w:hAnsi="Calibri"/>
          <w:b w:val="0"/>
          <w:i w:val="0"/>
          <w:color w:val="0A0A0A"/>
          <w:sz w:val="21"/>
        </w:rPr>
        <w:t xml:space="preserve">), </w:t>
      </w:r>
      <w:r>
        <w:rPr>
          <w:rFonts w:ascii="Consolas" w:hAnsi="Consolas"/>
          <w:color w:val="1F1F1F"/>
          <w:sz w:val="19"/>
          <w:shd w:val="clear" w:color="auto" w:fill="F4F4F4"/>
        </w:rPr>
        <w:t>python -c "import app.main"</w:t>
      </w:r>
      <w:r>
        <w:rPr>
          <w:rFonts w:ascii="Calibri" w:hAnsi="Calibri"/>
          <w:b w:val="0"/>
          <w:i w:val="0"/>
          <w:color w:val="0A0A0A"/>
          <w:sz w:val="21"/>
        </w:rPr>
        <w:t xml:space="preserve"> valida todo o </w:t>
      </w:r>
      <w:r>
        <w:rPr>
          <w:rFonts w:ascii="Calibri" w:hAnsi="Calibri"/>
          <w:i/>
          <w:color w:val="0A0A0A"/>
          <w:sz w:val="21"/>
        </w:rPr>
        <w:t>wiring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rotas, schemas e imports sem conexão ao PostgreSQL, e o </w:t>
      </w:r>
      <w:r>
        <w:rPr>
          <w:rFonts w:ascii="Consolas" w:hAnsi="Consolas"/>
          <w:color w:val="1F1F1F"/>
          <w:sz w:val="19"/>
          <w:shd w:val="clear" w:color="auto" w:fill="F4F4F4"/>
        </w:rPr>
        <w:t>check_contract.py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valida o contrato front-back de forma estática. Juntos, formam a rede de segurança do projeto.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12. Conclusão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arquitetura do CITO equilibra rigor e pragmatismo. No back-end, a hexagonal isola o domínio das tecnologias de borda e concentra as regras sensíveis (privacidade, autenticação) em pontos bem definidos, ao mesmo tempo em que delega a regra clínica de maior valor — o escore — ao banco, onde ela pode ser auditada e recalibrada sem novo deploy. No front-end, a opção por React sem empacotador reduz a complexidade de </w:t>
      </w:r>
      <w:r>
        <w:rPr>
          <w:rFonts w:ascii="Calibri" w:hAnsi="Calibri"/>
          <w:i/>
          <w:color w:val="0A0A0A"/>
          <w:sz w:val="21"/>
        </w:rPr>
        <w:t>tooling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ao custo de um modelo de escopo global, com toda a rede concentrada em um cliente de API único. As três camadas físicas se comunicam de forma estrita e unidirecional, e a proteção de dados pessoais — cifragem no banco, chave por sessão e supressão estatística por k-anonimato — está distribuída pela pilha como um requisito de primeira ordem. O respeito à distinção entre núcleo ativo e </w:t>
      </w:r>
      <w:r>
        <w:rPr>
          <w:rFonts w:ascii="Calibri" w:hAnsi="Calibri"/>
          <w:i/>
          <w:color w:val="0A0A0A"/>
          <w:sz w:val="21"/>
        </w:rPr>
        <w:t>scaffolding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legado é essencial para navegar o código sem se perder em artefatos que não participam da execução.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Manual de Arquitetura</w:t>
    </w:r>
    <w:r>
      <w:rPr>
        <w:color w:val="8A8A8A"/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