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200"/>
        <w:jc w:val="center"/>
      </w:pPr>
      <w:r>
        <w:rPr>
          <w:rFonts w:ascii="Calibri" w:hAnsi="Calibri"/>
          <w:b/>
          <w:color w:val="0A0A0A"/>
          <w:sz w:val="60"/>
        </w:rPr>
        <w:t>Documento de Regras de Negócio</w:t>
      </w:r>
    </w:p>
    <w:p>
      <w:pPr>
        <w:spacing w:after="280"/>
        <w:jc w:val="center"/>
        <w:pBdr>
          <w:bottom w:val="single" w:sz="6" w:space="1" w:color="1F1F1F"/>
        </w:pBdr>
      </w:pPr>
    </w:p>
    <w:p>
      <w:pPr>
        <w:spacing w:after="520"/>
        <w:jc w:val="center"/>
      </w:pPr>
      <w:r>
        <w:rPr>
          <w:rFonts w:ascii="Calibri" w:hAnsi="Calibri"/>
          <w:b w:val="0"/>
          <w:i w:val="0"/>
          <w:color w:val="5A5A5A"/>
          <w:sz w:val="28"/>
        </w:rPr>
        <w:t>Sistema CITO — Ferramenta de Pré-diagnóstico da Síndrome do X Frágil</w:t>
      </w:r>
    </w:p>
    <w:p>
      <w:pPr>
        <w:spacing w:after="160"/>
        <w:ind w:left="864" w:right="864"/>
        <w:jc w:val="center"/>
      </w:pPr>
      <w:r>
        <w:rPr>
          <w:rFonts w:ascii="Calibri" w:hAnsi="Calibri"/>
          <w:b w:val="0"/>
          <w:i w:val="0"/>
          <w:color w:val="333333"/>
          <w:sz w:val="22"/>
        </w:rPr>
        <w:t>Este documento descreve formalmente as regras que governam o comportamento do sistema CITO. O ponto de partida foi a especificação de integração (</w:t>
      </w:r>
      <w:r>
        <w:rPr>
          <w:rFonts w:ascii="Consolas" w:hAnsi="Consolas"/>
          <w:color w:val="1F1F1F"/>
          <w:sz w:val="20"/>
          <w:shd w:val="clear" w:color="auto" w:fill="F4F4F4"/>
        </w:rPr>
        <w:t>docs/spec/SPEC.md</w:t>
      </w:r>
      <w:r>
        <w:rPr>
          <w:rFonts w:ascii="Calibri" w:hAnsi="Calibri"/>
          <w:b w:val="0"/>
          <w:i w:val="0"/>
          <w:color w:val="333333"/>
          <w:sz w:val="22"/>
        </w:rPr>
        <w:t>), mas cada regra foi verificada e complementada contra o código-fonte real, o esquema do banco de dados e a camada de domínio, de modo a refletir o sistema como ele efetivamente opera hoje — e não apenas como foi planejado. Cada regra cita o limiar, validação, exceção ou restrição concreta que a faz cumprir.</w:t>
      </w:r>
    </w:p>
    <w:p>
      <w:r>
        <w:br w:type="page"/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1. Contexto e escopo clínico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 Síndrome do X Frágil (SXF/FXS) é a causa hereditária mais comum de deficiência intelectual e a causa monogênica mais comum de autismo, decorrente de mutação no gene FMR1. O diagnóstico definitivo é molecular (teste do FMR1).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RN-01 — Natureza de pré-diagnóstico.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CITO realiza triagem (pré-diagnóstico), não diagnóstico. O desfecho do sistema é a recomendação de encaminhamento ao exame genético FMR1 (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 w:val="0"/>
          <w:color w:val="0A0A0A"/>
          <w:sz w:val="21"/>
        </w:rPr>
        <w:t>), nunca um veredito diagnóstico. Esta premissa orienta todas as demais regras.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2. Cadastro de paciente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Endpoint: </w:t>
      </w:r>
      <w:r>
        <w:rPr>
          <w:rFonts w:ascii="Consolas" w:hAnsi="Consolas"/>
          <w:color w:val="1F1F1F"/>
          <w:sz w:val="19"/>
          <w:shd w:val="clear" w:color="auto" w:fill="F4F4F4"/>
        </w:rPr>
        <w:t>POST /api/v1/pacientes</w:t>
      </w:r>
      <w:r>
        <w:rPr>
          <w:rFonts w:ascii="Calibri" w:hAnsi="Calibri"/>
          <w:b w:val="0"/>
          <w:i w:val="0"/>
          <w:color w:val="0A0A0A"/>
          <w:sz w:val="21"/>
        </w:rPr>
        <w:t xml:space="preserve">. Caso de uso: </w:t>
      </w:r>
      <w:r>
        <w:rPr>
          <w:rFonts w:ascii="Consolas" w:hAnsi="Consolas"/>
          <w:color w:val="1F1F1F"/>
          <w:sz w:val="19"/>
          <w:shd w:val="clear" w:color="auto" w:fill="F4F4F4"/>
        </w:rPr>
        <w:t>RegisterPatientUseCase</w:t>
      </w:r>
      <w:r>
        <w:rPr>
          <w:rFonts w:ascii="Calibri" w:hAnsi="Calibri"/>
          <w:b w:val="0"/>
          <w:i w:val="0"/>
          <w:color w:val="0A0A0A"/>
          <w:sz w:val="21"/>
        </w:rPr>
        <w:t xml:space="preserve">. Schema: </w:t>
      </w:r>
      <w:r>
        <w:rPr>
          <w:rFonts w:ascii="Consolas" w:hAnsi="Consolas"/>
          <w:color w:val="1F1F1F"/>
          <w:sz w:val="19"/>
          <w:shd w:val="clear" w:color="auto" w:fill="F4F4F4"/>
        </w:rPr>
        <w:t>PatientCreateRequest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RN-02 — Campos obrigatórios do paciente.</w:t>
      </w:r>
      <w:r>
        <w:rPr>
          <w:rFonts w:ascii="Calibri" w:hAnsi="Calibri"/>
          <w:b w:val="0"/>
          <w:i w:val="0"/>
          <w:color w:val="0A0A0A"/>
          <w:sz w:val="21"/>
        </w:rPr>
        <w:t xml:space="preserve"> São obrigatórios apenas </w:t>
      </w:r>
      <w:r>
        <w:rPr>
          <w:rFonts w:ascii="Consolas" w:hAnsi="Consolas"/>
          <w:color w:val="1F1F1F"/>
          <w:sz w:val="19"/>
          <w:shd w:val="clear" w:color="auto" w:fill="F4F4F4"/>
        </w:rPr>
        <w:t>nome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data_nascimento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sexo</w:t>
      </w:r>
      <w:r>
        <w:rPr>
          <w:rFonts w:ascii="Calibri" w:hAnsi="Calibri"/>
          <w:b w:val="0"/>
          <w:i w:val="0"/>
          <w:color w:val="0A0A0A"/>
          <w:sz w:val="21"/>
        </w:rPr>
        <w:t>. Todos os campos demográficos (etnia, UF, escolaridade, comorbidades, medicamentos, prematuridade, etc.) são opcionais, pois o banco permite NULL. Esta regra resultou de decisão registrada na especificação: o formulário do front-end não coleta vários campos, e exigi-los quebraria o cadastro.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RN-03 — Validações de formato do paciente.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schema </w:t>
      </w:r>
      <w:r>
        <w:rPr>
          <w:rFonts w:ascii="Consolas" w:hAnsi="Consolas"/>
          <w:color w:val="1F1F1F"/>
          <w:sz w:val="19"/>
          <w:shd w:val="clear" w:color="auto" w:fill="F4F4F4"/>
        </w:rPr>
        <w:t>PatientCreateRequest</w:t>
      </w:r>
      <w:r>
        <w:rPr>
          <w:rFonts w:ascii="Calibri" w:hAnsi="Calibri"/>
          <w:b w:val="0"/>
          <w:i w:val="0"/>
          <w:color w:val="0A0A0A"/>
          <w:sz w:val="21"/>
        </w:rPr>
        <w:t xml:space="preserve"> (Pydantic, </w:t>
      </w:r>
      <w:r>
        <w:rPr>
          <w:rFonts w:ascii="Consolas" w:hAnsi="Consolas"/>
          <w:color w:val="1F1F1F"/>
          <w:sz w:val="19"/>
          <w:shd w:val="clear" w:color="auto" w:fill="F4F4F4"/>
        </w:rPr>
        <w:t>extra="forbid"</w:t>
      </w:r>
      <w:r>
        <w:rPr>
          <w:rFonts w:ascii="Calibri" w:hAnsi="Calibri"/>
          <w:b w:val="0"/>
          <w:i w:val="0"/>
          <w:color w:val="0A0A0A"/>
          <w:sz w:val="21"/>
        </w:rPr>
        <w:t xml:space="preserve">) impõe: </w:t>
      </w:r>
      <w:r>
        <w:rPr>
          <w:rFonts w:ascii="Consolas" w:hAnsi="Consolas"/>
          <w:color w:val="1F1F1F"/>
          <w:sz w:val="19"/>
          <w:shd w:val="clear" w:color="auto" w:fill="F4F4F4"/>
        </w:rPr>
        <w:t>nome</w:t>
      </w:r>
      <w:r>
        <w:rPr>
          <w:rFonts w:ascii="Calibri" w:hAnsi="Calibri"/>
          <w:b w:val="0"/>
          <w:i w:val="0"/>
          <w:color w:val="0A0A0A"/>
          <w:sz w:val="21"/>
        </w:rPr>
        <w:t xml:space="preserve"> entre 2 e 120 caracteres; </w:t>
      </w:r>
      <w:r>
        <w:rPr>
          <w:rFonts w:ascii="Consolas" w:hAnsi="Consolas"/>
          <w:color w:val="1F1F1F"/>
          <w:sz w:val="19"/>
          <w:shd w:val="clear" w:color="auto" w:fill="F4F4F4"/>
        </w:rPr>
        <w:t>sexo</w:t>
      </w:r>
      <w:r>
        <w:rPr>
          <w:rFonts w:ascii="Calibri" w:hAnsi="Calibri"/>
          <w:b w:val="0"/>
          <w:i w:val="0"/>
          <w:color w:val="0A0A0A"/>
          <w:sz w:val="21"/>
        </w:rPr>
        <w:t xml:space="preserve"> restrito ao padrão </w:t>
      </w:r>
      <w:r>
        <w:rPr>
          <w:rFonts w:ascii="Consolas" w:hAnsi="Consolas"/>
          <w:color w:val="1F1F1F"/>
          <w:sz w:val="19"/>
          <w:shd w:val="clear" w:color="auto" w:fill="F4F4F4"/>
        </w:rPr>
        <w:t>^(M|F|I)$</w:t>
      </w:r>
      <w:r>
        <w:rPr>
          <w:rFonts w:ascii="Calibri" w:hAnsi="Calibri"/>
          <w:b w:val="0"/>
          <w:i w:val="0"/>
          <w:color w:val="0A0A0A"/>
          <w:sz w:val="21"/>
        </w:rPr>
        <w:t xml:space="preserve">; </w:t>
      </w:r>
      <w:r>
        <w:rPr>
          <w:rFonts w:ascii="Consolas" w:hAnsi="Consolas"/>
          <w:color w:val="1F1F1F"/>
          <w:sz w:val="19"/>
          <w:shd w:val="clear" w:color="auto" w:fill="F4F4F4"/>
        </w:rPr>
        <w:t>cpf</w:t>
      </w:r>
      <w:r>
        <w:rPr>
          <w:rFonts w:ascii="Calibri" w:hAnsi="Calibri"/>
          <w:b w:val="0"/>
          <w:i w:val="0"/>
          <w:color w:val="0A0A0A"/>
          <w:sz w:val="21"/>
        </w:rPr>
        <w:t xml:space="preserve"> opcional, entre 11 e 14 caracteres; </w:t>
      </w:r>
      <w:r>
        <w:rPr>
          <w:rFonts w:ascii="Consolas" w:hAnsi="Consolas"/>
          <w:color w:val="1F1F1F"/>
          <w:sz w:val="19"/>
          <w:shd w:val="clear" w:color="auto" w:fill="F4F4F4"/>
        </w:rPr>
        <w:t>uf_nascimento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uf_residencia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no máximo 2 caracteres; </w:t>
      </w:r>
      <w:r>
        <w:rPr>
          <w:rFonts w:ascii="Consolas" w:hAnsi="Consolas"/>
          <w:color w:val="1F1F1F"/>
          <w:sz w:val="19"/>
          <w:shd w:val="clear" w:color="auto" w:fill="F4F4F4"/>
        </w:rPr>
        <w:t>municipio_residencia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no máximo 120. Qualquer campo não previsto no schema faz a requisição falhar com HTTP 422.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RN-04 — CPF nunca é armazenado; apenas seu hash.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objeto de valor </w:t>
      </w:r>
      <w:r>
        <w:rPr>
          <w:rFonts w:ascii="Consolas" w:hAnsi="Consolas"/>
          <w:color w:val="1F1F1F"/>
          <w:sz w:val="19"/>
          <w:shd w:val="clear" w:color="auto" w:fill="F4F4F4"/>
        </w:rPr>
        <w:t>CPF</w:t>
      </w:r>
      <w:r>
        <w:rPr>
          <w:rFonts w:ascii="Calibri" w:hAnsi="Calibri"/>
          <w:b w:val="0"/>
          <w:i w:val="0"/>
          <w:color w:val="0A0A0A"/>
          <w:sz w:val="21"/>
        </w:rPr>
        <w:t xml:space="preserve"> valida que o número contém exatamente 11 dígitos numéricos (após remover pontos, traços e espaços); caso contrário, lança </w:t>
      </w:r>
      <w:r>
        <w:rPr>
          <w:rFonts w:ascii="Consolas" w:hAnsi="Consolas"/>
          <w:color w:val="1F1F1F"/>
          <w:sz w:val="19"/>
          <w:shd w:val="clear" w:color="auto" w:fill="F4F4F4"/>
        </w:rPr>
        <w:t>ValueError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a mensagem "CPF inválido: deve conter exatamente 11 dígitos numéricos". Apenas o hash SHA-256 do CPF (</w:t>
      </w:r>
      <w:r>
        <w:rPr>
          <w:rFonts w:ascii="Consolas" w:hAnsi="Consolas"/>
          <w:color w:val="1F1F1F"/>
          <w:sz w:val="19"/>
          <w:shd w:val="clear" w:color="auto" w:fill="F4F4F4"/>
        </w:rPr>
        <w:t>cpf_hash</w:t>
      </w:r>
      <w:r>
        <w:rPr>
          <w:rFonts w:ascii="Calibri" w:hAnsi="Calibri"/>
          <w:b w:val="0"/>
          <w:i w:val="0"/>
          <w:color w:val="0A0A0A"/>
          <w:sz w:val="21"/>
        </w:rPr>
        <w:t xml:space="preserve">) é persistido — o número em si nunca é gravado. O hash permite verificar duplicidade por igualdade sem guardar o dado. Adicionalmente, o </w:t>
      </w:r>
      <w:r>
        <w:rPr>
          <w:rFonts w:ascii="Consolas" w:hAnsi="Consolas"/>
          <w:color w:val="1F1F1F"/>
          <w:sz w:val="19"/>
          <w:shd w:val="clear" w:color="auto" w:fill="F4F4F4"/>
        </w:rPr>
        <w:t>CPF</w:t>
      </w:r>
      <w:r>
        <w:rPr>
          <w:rFonts w:ascii="Calibri" w:hAnsi="Calibri"/>
          <w:b w:val="0"/>
          <w:i w:val="0"/>
          <w:color w:val="0A0A0A"/>
          <w:sz w:val="21"/>
        </w:rPr>
        <w:t xml:space="preserve"> redige a si mesmo em representações textuais (</w:t>
      </w:r>
      <w:r>
        <w:rPr>
          <w:rFonts w:ascii="Consolas" w:hAnsi="Consolas"/>
          <w:color w:val="1F1F1F"/>
          <w:sz w:val="19"/>
          <w:shd w:val="clear" w:color="auto" w:fill="F4F4F4"/>
        </w:rPr>
        <w:t>__repr__</w:t>
      </w:r>
      <w:r>
        <w:rPr>
          <w:rFonts w:ascii="Calibri" w:hAnsi="Calibri"/>
          <w:b w:val="0"/>
          <w:i w:val="0"/>
          <w:color w:val="0A0A0A"/>
          <w:sz w:val="21"/>
        </w:rPr>
        <w:t>/</w:t>
      </w:r>
      <w:r>
        <w:rPr>
          <w:rFonts w:ascii="Consolas" w:hAnsi="Consolas"/>
          <w:color w:val="1F1F1F"/>
          <w:sz w:val="19"/>
          <w:shd w:val="clear" w:color="auto" w:fill="F4F4F4"/>
        </w:rPr>
        <w:t>__str__</w:t>
      </w:r>
      <w:r>
        <w:rPr>
          <w:rFonts w:ascii="Calibri" w:hAnsi="Calibri"/>
          <w:b w:val="0"/>
          <w:i w:val="0"/>
          <w:color w:val="0A0A0A"/>
          <w:sz w:val="21"/>
        </w:rPr>
        <w:t xml:space="preserve"> retornam </w:t>
      </w:r>
      <w:r>
        <w:rPr>
          <w:rFonts w:ascii="Consolas" w:hAnsi="Consolas"/>
          <w:color w:val="1F1F1F"/>
          <w:sz w:val="19"/>
          <w:shd w:val="clear" w:color="auto" w:fill="F4F4F4"/>
        </w:rPr>
        <w:t>***redacted***</w:t>
      </w:r>
      <w:r>
        <w:rPr>
          <w:rFonts w:ascii="Calibri" w:hAnsi="Calibri"/>
          <w:b w:val="0"/>
          <w:i w:val="0"/>
          <w:color w:val="0A0A0A"/>
          <w:sz w:val="21"/>
        </w:rPr>
        <w:t xml:space="preserve">), de modo que o número nunca aparece em log ou </w:t>
      </w:r>
      <w:r>
        <w:rPr>
          <w:rFonts w:ascii="Calibri" w:hAnsi="Calibri"/>
          <w:i/>
          <w:color w:val="0A0A0A"/>
          <w:sz w:val="21"/>
        </w:rPr>
        <w:t>traceback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RN-05 — Cifragem do nome no banco, não na aplicação.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repositório insere o nome do paciente em claro na view </w:t>
      </w:r>
      <w:r>
        <w:rPr>
          <w:rFonts w:ascii="Consolas" w:hAnsi="Consolas"/>
          <w:color w:val="1F1F1F"/>
          <w:sz w:val="19"/>
          <w:shd w:val="clear" w:color="auto" w:fill="F4F4F4"/>
        </w:rPr>
        <w:t>pacientes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gatilho </w:t>
      </w:r>
      <w:r>
        <w:rPr>
          <w:rFonts w:ascii="Consolas" w:hAnsi="Consolas"/>
          <w:color w:val="1F1F1F"/>
          <w:sz w:val="19"/>
          <w:shd w:val="clear" w:color="auto" w:fill="F4F4F4"/>
        </w:rPr>
        <w:t>INSTEAD OF INSERT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fn_pacientes_insert</w:t>
      </w:r>
      <w:r>
        <w:rPr>
          <w:rFonts w:ascii="Calibri" w:hAnsi="Calibri"/>
          <w:b w:val="0"/>
          <w:i w:val="0"/>
          <w:color w:val="0A0A0A"/>
          <w:sz w:val="21"/>
        </w:rPr>
        <w:t xml:space="preserve">) aplica </w:t>
      </w:r>
      <w:r>
        <w:rPr>
          <w:rFonts w:ascii="Consolas" w:hAnsi="Consolas"/>
          <w:color w:val="1F1F1F"/>
          <w:sz w:val="19"/>
          <w:shd w:val="clear" w:color="auto" w:fill="F4F4F4"/>
        </w:rPr>
        <w:t>pgp_sym_encrypt</w:t>
      </w:r>
      <w:r>
        <w:rPr>
          <w:rFonts w:ascii="Calibri" w:hAnsi="Calibri"/>
          <w:b w:val="0"/>
          <w:i w:val="0"/>
          <w:color w:val="0A0A0A"/>
          <w:sz w:val="21"/>
        </w:rPr>
        <w:t xml:space="preserve"> e grava o resultado cifrado (BYTEA) em </w:t>
      </w:r>
      <w:r>
        <w:rPr>
          <w:rFonts w:ascii="Consolas" w:hAnsi="Consolas"/>
          <w:color w:val="1F1F1F"/>
          <w:sz w:val="19"/>
          <w:shd w:val="clear" w:color="auto" w:fill="F4F4F4"/>
        </w:rPr>
        <w:t>tb_pacientes.nome_criptografado</w:t>
      </w:r>
      <w:r>
        <w:rPr>
          <w:rFonts w:ascii="Calibri" w:hAnsi="Calibri"/>
          <w:b w:val="0"/>
          <w:i w:val="0"/>
          <w:color w:val="0A0A0A"/>
          <w:sz w:val="21"/>
        </w:rPr>
        <w:t>. A aplicação Python nunca cifra nada.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RN-06 — Deduplicação do acompanhante por CPF.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bloco </w:t>
      </w:r>
      <w:r>
        <w:rPr>
          <w:rFonts w:ascii="Consolas" w:hAnsi="Consolas"/>
          <w:color w:val="1F1F1F"/>
          <w:sz w:val="19"/>
          <w:shd w:val="clear" w:color="auto" w:fill="F4F4F4"/>
        </w:rPr>
        <w:t>acompanhante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opcional; quando presente, exige </w:t>
      </w:r>
      <w:r>
        <w:rPr>
          <w:rFonts w:ascii="Consolas" w:hAnsi="Consolas"/>
          <w:color w:val="1F1F1F"/>
          <w:sz w:val="19"/>
          <w:shd w:val="clear" w:color="auto" w:fill="F4F4F4"/>
        </w:rPr>
        <w:t>nome</w:t>
      </w:r>
      <w:r>
        <w:rPr>
          <w:rFonts w:ascii="Calibri" w:hAnsi="Calibri"/>
          <w:b w:val="0"/>
          <w:i w:val="0"/>
          <w:color w:val="0A0A0A"/>
          <w:sz w:val="21"/>
        </w:rPr>
        <w:t xml:space="preserve"> (2 a 120 caracteres) e </w:t>
      </w:r>
      <w:r>
        <w:rPr>
          <w:rFonts w:ascii="Consolas" w:hAnsi="Consolas"/>
          <w:color w:val="1F1F1F"/>
          <w:sz w:val="19"/>
          <w:shd w:val="clear" w:color="auto" w:fill="F4F4F4"/>
        </w:rPr>
        <w:t>relacao</w:t>
      </w:r>
      <w:r>
        <w:rPr>
          <w:rFonts w:ascii="Calibri" w:hAnsi="Calibri"/>
          <w:b w:val="0"/>
          <w:i w:val="0"/>
          <w:color w:val="0A0A0A"/>
          <w:sz w:val="21"/>
        </w:rPr>
        <w:t xml:space="preserve"> (1 a 40 caracteres). Se o acompanhante informado já existe (mesmo </w:t>
      </w:r>
      <w:r>
        <w:rPr>
          <w:rFonts w:ascii="Consolas" w:hAnsi="Consolas"/>
          <w:color w:val="1F1F1F"/>
          <w:sz w:val="19"/>
          <w:shd w:val="clear" w:color="auto" w:fill="F4F4F4"/>
        </w:rPr>
        <w:t>cpf_hash</w:t>
      </w:r>
      <w:r>
        <w:rPr>
          <w:rFonts w:ascii="Calibri" w:hAnsi="Calibri"/>
          <w:b w:val="0"/>
          <w:i w:val="0"/>
          <w:color w:val="0A0A0A"/>
          <w:sz w:val="21"/>
        </w:rPr>
        <w:t xml:space="preserve">), o cadastro </w:t>
      </w:r>
      <w:r>
        <w:rPr>
          <w:rFonts w:ascii="Calibri" w:hAnsi="Calibri"/>
          <w:b/>
          <w:color w:val="0A0A0A"/>
          <w:sz w:val="21"/>
        </w:rPr>
        <w:t>reaproveita</w:t>
      </w:r>
      <w:r>
        <w:rPr>
          <w:rFonts w:ascii="Calibri" w:hAnsi="Calibri"/>
          <w:b w:val="0"/>
          <w:i w:val="0"/>
          <w:color w:val="0A0A0A"/>
          <w:sz w:val="21"/>
        </w:rPr>
        <w:t xml:space="preserve"> o registro existente; sem CPF, sempre cria um novo. Isso reflete a realidade de que um mesmo responsável pode cuidar de vários pacientes.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RN-07 — A relação do acompanhante vira grau de parentesco do paciente.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grau de parentesco ("Mãe", "Pai", etc.) é enviado dentro do bloco </w:t>
      </w:r>
      <w:r>
        <w:rPr>
          <w:rFonts w:ascii="Consolas" w:hAnsi="Consolas"/>
          <w:color w:val="1F1F1F"/>
          <w:sz w:val="19"/>
          <w:shd w:val="clear" w:color="auto" w:fill="F4F4F4"/>
        </w:rPr>
        <w:t>acompanhante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(campo </w:t>
      </w:r>
      <w:r>
        <w:rPr>
          <w:rFonts w:ascii="Consolas" w:hAnsi="Consolas"/>
          <w:color w:val="1F1F1F"/>
          <w:sz w:val="19"/>
          <w:shd w:val="clear" w:color="auto" w:fill="F4F4F4"/>
        </w:rPr>
        <w:t>relacao</w:t>
      </w:r>
      <w:r>
        <w:rPr>
          <w:rFonts w:ascii="Calibri" w:hAnsi="Calibri"/>
          <w:b w:val="0"/>
          <w:i w:val="0"/>
          <w:color w:val="0A0A0A"/>
          <w:sz w:val="21"/>
        </w:rPr>
        <w:t xml:space="preserve">), mas é armazenado na coluna </w:t>
      </w:r>
      <w:r>
        <w:rPr>
          <w:rFonts w:ascii="Consolas" w:hAnsi="Consolas"/>
          <w:color w:val="1F1F1F"/>
          <w:sz w:val="19"/>
          <w:shd w:val="clear" w:color="auto" w:fill="F4F4F4"/>
        </w:rPr>
        <w:t>grau_parentesco</w:t>
      </w:r>
      <w:r>
        <w:rPr>
          <w:rFonts w:ascii="Calibri" w:hAnsi="Calibri"/>
          <w:b w:val="0"/>
          <w:i w:val="0"/>
          <w:color w:val="0A0A0A"/>
          <w:sz w:val="21"/>
        </w:rPr>
        <w:t xml:space="preserve"> do paciente, conforme a modelagem do banco.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RN-08 — Identidade inteira atribuída pelo banco.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entidade </w:t>
      </w:r>
      <w:r>
        <w:rPr>
          <w:rFonts w:ascii="Consolas" w:hAnsi="Consolas"/>
          <w:color w:val="1F1F1F"/>
          <w:sz w:val="19"/>
          <w:shd w:val="clear" w:color="auto" w:fill="F4F4F4"/>
        </w:rPr>
        <w:t>Patient</w:t>
      </w:r>
      <w:r>
        <w:rPr>
          <w:rFonts w:ascii="Calibri" w:hAnsi="Calibri"/>
          <w:b w:val="0"/>
          <w:i w:val="0"/>
          <w:color w:val="0A0A0A"/>
          <w:sz w:val="21"/>
        </w:rPr>
        <w:t xml:space="preserve"> nasce com </w:t>
      </w:r>
      <w:r>
        <w:rPr>
          <w:rFonts w:ascii="Consolas" w:hAnsi="Consolas"/>
          <w:color w:val="1F1F1F"/>
          <w:sz w:val="19"/>
          <w:shd w:val="clear" w:color="auto" w:fill="F4F4F4"/>
        </w:rPr>
        <w:t>id = None</w:t>
      </w:r>
      <w:r>
        <w:rPr>
          <w:rFonts w:ascii="Calibri" w:hAnsi="Calibri"/>
          <w:b w:val="0"/>
          <w:i w:val="0"/>
          <w:color w:val="0A0A0A"/>
          <w:sz w:val="21"/>
        </w:rPr>
        <w:t xml:space="preserve">; o INSERT é feito sem id e usa </w:t>
      </w:r>
      <w:r>
        <w:rPr>
          <w:rFonts w:ascii="Consolas" w:hAnsi="Consolas"/>
          <w:color w:val="1F1F1F"/>
          <w:sz w:val="19"/>
          <w:shd w:val="clear" w:color="auto" w:fill="F4F4F4"/>
        </w:rPr>
        <w:t>RETURNING id</w:t>
      </w:r>
      <w:r>
        <w:rPr>
          <w:rFonts w:ascii="Calibri" w:hAnsi="Calibri"/>
          <w:b w:val="0"/>
          <w:i w:val="0"/>
          <w:color w:val="0A0A0A"/>
          <w:sz w:val="21"/>
        </w:rPr>
        <w:t xml:space="preserve">, e o identificador </w:t>
      </w:r>
      <w:r>
        <w:rPr>
          <w:rFonts w:ascii="Consolas" w:hAnsi="Consolas"/>
          <w:color w:val="1F1F1F"/>
          <w:sz w:val="19"/>
          <w:shd w:val="clear" w:color="auto" w:fill="F4F4F4"/>
        </w:rPr>
        <w:t>SERIAL</w:t>
      </w:r>
      <w:r>
        <w:rPr>
          <w:rFonts w:ascii="Calibri" w:hAnsi="Calibri"/>
          <w:b w:val="0"/>
          <w:i w:val="0"/>
          <w:color w:val="0A0A0A"/>
          <w:sz w:val="21"/>
        </w:rPr>
        <w:t xml:space="preserve"> gerado pelo banco é então fixado na entidade. Identificadores são inteiros sequenciais, não UUID.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3. Listagem, prontuário e ciclo de vida do paciente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RN-09 — Escopo por médico dono (RBAC de aplicação).</w:t>
      </w:r>
      <w:r>
        <w:rPr>
          <w:rFonts w:ascii="Calibri" w:hAnsi="Calibri"/>
          <w:b w:val="0"/>
          <w:i w:val="0"/>
          <w:color w:val="0A0A0A"/>
          <w:sz w:val="21"/>
        </w:rPr>
        <w:t xml:space="preserve"> Toda consulta de pacientes é filtrada por </w:t>
      </w:r>
      <w:r>
        <w:rPr>
          <w:rFonts w:ascii="Consolas" w:hAnsi="Consolas"/>
          <w:color w:val="1F1F1F"/>
          <w:sz w:val="19"/>
          <w:shd w:val="clear" w:color="auto" w:fill="F4F4F4"/>
        </w:rPr>
        <w:t>WHERE criado_por = :usuario_id</w:t>
      </w:r>
      <w:r>
        <w:rPr>
          <w:rFonts w:ascii="Calibri" w:hAnsi="Calibri"/>
          <w:b w:val="0"/>
          <w:i w:val="0"/>
          <w:color w:val="0A0A0A"/>
          <w:sz w:val="21"/>
        </w:rPr>
        <w:t xml:space="preserve"> (o </w:t>
      </w:r>
      <w:r>
        <w:rPr>
          <w:rFonts w:ascii="Consolas" w:hAnsi="Consolas"/>
          <w:color w:val="1F1F1F"/>
          <w:sz w:val="19"/>
          <w:shd w:val="clear" w:color="auto" w:fill="F4F4F4"/>
        </w:rPr>
        <w:t>usuario_id</w:t>
      </w:r>
      <w:r>
        <w:rPr>
          <w:rFonts w:ascii="Calibri" w:hAnsi="Calibri"/>
          <w:b w:val="0"/>
          <w:i w:val="0"/>
          <w:color w:val="0A0A0A"/>
          <w:sz w:val="21"/>
        </w:rPr>
        <w:t xml:space="preserve"> vem do JWT). Um médico só enxerga e manipula os pacientes que ele cadastrou. Como os identificadores são sequenciais e, portanto, adivinháveis, esse filtro por dono é a defesa contra acesso indevido a objetos (IDOR) e é obrigatório em qualquer consulta nova.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RN-10 — Limite de paginação.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listagem de pacientes aceita </w:t>
      </w:r>
      <w:r>
        <w:rPr>
          <w:rFonts w:ascii="Consolas" w:hAnsi="Consolas"/>
          <w:color w:val="1F1F1F"/>
          <w:sz w:val="19"/>
          <w:shd w:val="clear" w:color="auto" w:fill="F4F4F4"/>
        </w:rPr>
        <w:t>limit</w:t>
      </w:r>
      <w:r>
        <w:rPr>
          <w:rFonts w:ascii="Calibri" w:hAnsi="Calibri"/>
          <w:b w:val="0"/>
          <w:i w:val="0"/>
          <w:color w:val="0A0A0A"/>
          <w:sz w:val="21"/>
        </w:rPr>
        <w:t xml:space="preserve"> entre 1 e 200 (padrão 50) e </w:t>
      </w:r>
      <w:r>
        <w:rPr>
          <w:rFonts w:ascii="Consolas" w:hAnsi="Consolas"/>
          <w:color w:val="1F1F1F"/>
          <w:sz w:val="19"/>
          <w:shd w:val="clear" w:color="auto" w:fill="F4F4F4"/>
        </w:rPr>
        <w:t>offset</w:t>
      </w:r>
      <w:r>
        <w:rPr>
          <w:rFonts w:ascii="Calibri" w:hAnsi="Calibri"/>
          <w:b w:val="0"/>
          <w:i w:val="0"/>
          <w:color w:val="0A0A0A"/>
          <w:sz w:val="21"/>
        </w:rPr>
        <w:t xml:space="preserve"> ≥ 0. O mesmo teto de 200 vale para o histórico de avaliações.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RN-11 — Busca por nome é feita no servidor.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Como o nome pode não estar disponível em claro no cliente, a busca textual usa </w:t>
      </w:r>
      <w:r>
        <w:rPr>
          <w:rFonts w:ascii="Consolas" w:hAnsi="Consolas"/>
          <w:color w:val="1F1F1F"/>
          <w:sz w:val="19"/>
          <w:shd w:val="clear" w:color="auto" w:fill="F4F4F4"/>
        </w:rPr>
        <w:t>ILIKE</w:t>
      </w:r>
      <w:r>
        <w:rPr>
          <w:rFonts w:ascii="Calibri" w:hAnsi="Calibri"/>
          <w:b w:val="0"/>
          <w:i w:val="0"/>
          <w:color w:val="0A0A0A"/>
          <w:sz w:val="21"/>
        </w:rPr>
        <w:t xml:space="preserve"> no servidor (a view decifra o nome antes da comparação). O front-end envia o filtro via parâmetro </w:t>
      </w:r>
      <w:r>
        <w:rPr>
          <w:rFonts w:ascii="Consolas" w:hAnsi="Consolas"/>
          <w:color w:val="1F1F1F"/>
          <w:sz w:val="19"/>
          <w:shd w:val="clear" w:color="auto" w:fill="F4F4F4"/>
        </w:rPr>
        <w:t>?nome=</w:t>
      </w:r>
      <w:r>
        <w:rPr>
          <w:rFonts w:ascii="Calibri" w:hAnsi="Calibri"/>
          <w:b w:val="0"/>
          <w:i w:val="0"/>
          <w:color w:val="0A0A0A"/>
          <w:sz w:val="21"/>
        </w:rPr>
        <w:t xml:space="preserve"> com </w:t>
      </w:r>
      <w:r>
        <w:rPr>
          <w:rFonts w:ascii="Calibri" w:hAnsi="Calibri"/>
          <w:i/>
          <w:color w:val="0A0A0A"/>
          <w:sz w:val="21"/>
        </w:rPr>
        <w:t>debounce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RN-12 — Acesso ao prontuário restrito ao dono.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detalhe de um paciente (</w:t>
      </w:r>
      <w:r>
        <w:rPr>
          <w:rFonts w:ascii="Consolas" w:hAnsi="Consolas"/>
          <w:color w:val="1F1F1F"/>
          <w:sz w:val="19"/>
          <w:shd w:val="clear" w:color="auto" w:fill="F4F4F4"/>
        </w:rPr>
        <w:t>GET /pacientes/{id}</w:t>
      </w:r>
      <w:r>
        <w:rPr>
          <w:rFonts w:ascii="Calibri" w:hAnsi="Calibri"/>
          <w:b w:val="0"/>
          <w:i w:val="0"/>
          <w:color w:val="0A0A0A"/>
          <w:sz w:val="21"/>
        </w:rPr>
        <w:t>) só é retornado se o paciente pertencer ao médico autenticado (</w:t>
      </w:r>
      <w:r>
        <w:rPr>
          <w:rFonts w:ascii="Consolas" w:hAnsi="Consolas"/>
          <w:color w:val="1F1F1F"/>
          <w:sz w:val="19"/>
          <w:shd w:val="clear" w:color="auto" w:fill="F4F4F4"/>
        </w:rPr>
        <w:t>WHERE p.id = :id AND p.criado_por = :usuario_id</w:t>
      </w:r>
      <w:r>
        <w:rPr>
          <w:rFonts w:ascii="Calibri" w:hAnsi="Calibri"/>
          <w:b w:val="0"/>
          <w:i w:val="0"/>
          <w:color w:val="0A0A0A"/>
          <w:sz w:val="21"/>
        </w:rPr>
        <w:t>). Caso contrário, o sistema responde HTTP 404 "Paciente não encontrado" — sem distinguir entre inexistência e pertencimento a outro médico.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RN-13 — Exclusão lógica (arquivamento).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PATCH /pacientes/{id}</w:t>
      </w:r>
      <w:r>
        <w:rPr>
          <w:rFonts w:ascii="Calibri" w:hAnsi="Calibri"/>
          <w:b w:val="0"/>
          <w:i w:val="0"/>
          <w:color w:val="0A0A0A"/>
          <w:sz w:val="21"/>
        </w:rPr>
        <w:t xml:space="preserve"> arquiva (</w:t>
      </w:r>
      <w:r>
        <w:rPr>
          <w:rFonts w:ascii="Consolas" w:hAnsi="Consolas"/>
          <w:color w:val="1F1F1F"/>
          <w:sz w:val="19"/>
          <w:shd w:val="clear" w:color="auto" w:fill="F4F4F4"/>
        </w:rPr>
        <w:t>ativo = FALSE</w:t>
      </w:r>
      <w:r>
        <w:rPr>
          <w:rFonts w:ascii="Calibri" w:hAnsi="Calibri"/>
          <w:b w:val="0"/>
          <w:i w:val="0"/>
          <w:color w:val="0A0A0A"/>
          <w:sz w:val="21"/>
        </w:rPr>
        <w:t>) ou reativa (</w:t>
      </w:r>
      <w:r>
        <w:rPr>
          <w:rFonts w:ascii="Consolas" w:hAnsi="Consolas"/>
          <w:color w:val="1F1F1F"/>
          <w:sz w:val="19"/>
          <w:shd w:val="clear" w:color="auto" w:fill="F4F4F4"/>
        </w:rPr>
        <w:t>ativo = TRUE</w:t>
      </w:r>
      <w:r>
        <w:rPr>
          <w:rFonts w:ascii="Calibri" w:hAnsi="Calibri"/>
          <w:b w:val="0"/>
          <w:i w:val="0"/>
          <w:color w:val="0A0A0A"/>
          <w:sz w:val="21"/>
        </w:rPr>
        <w:t xml:space="preserve">) um paciente do próprio médico. Pacientes arquivados são omitidos da listagem por padrão; só aparecem quando se informa </w:t>
      </w:r>
      <w:r>
        <w:rPr>
          <w:rFonts w:ascii="Consolas" w:hAnsi="Consolas"/>
          <w:color w:val="1F1F1F"/>
          <w:sz w:val="19"/>
          <w:shd w:val="clear" w:color="auto" w:fill="F4F4F4"/>
        </w:rPr>
        <w:t>incluir_inativos=true</w:t>
      </w:r>
      <w:r>
        <w:rPr>
          <w:rFonts w:ascii="Calibri" w:hAnsi="Calibri"/>
          <w:b w:val="0"/>
          <w:i w:val="0"/>
          <w:color w:val="0A0A0A"/>
          <w:sz w:val="21"/>
        </w:rPr>
        <w:t xml:space="preserve">. Se o paciente não pertencer ao médico, o caso de uso lança </w:t>
      </w:r>
      <w:r>
        <w:rPr>
          <w:rFonts w:ascii="Consolas" w:hAnsi="Consolas"/>
          <w:color w:val="1F1F1F"/>
          <w:sz w:val="19"/>
          <w:shd w:val="clear" w:color="auto" w:fill="F4F4F4"/>
        </w:rPr>
        <w:t>NotFoundError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(HTTP 404).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RN-14 — Exclusão definitiva exige confirmação por senha.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DELETE /pacientes/{id}</w:t>
      </w:r>
      <w:r>
        <w:rPr>
          <w:rFonts w:ascii="Calibri" w:hAnsi="Calibri"/>
          <w:b w:val="0"/>
          <w:i w:val="0"/>
          <w:color w:val="0A0A0A"/>
          <w:sz w:val="21"/>
        </w:rPr>
        <w:t xml:space="preserve"> remove o paciente e todos os registros dependentes em cascata (avaliações, respostas, histórico familiar, encaminhamentos, logs de análise, agendamentos). A operação é confirmada com a senha do próprio médico requisitante. </w:t>
      </w:r>
      <w:r>
        <w:rPr>
          <w:rFonts w:ascii="Calibri" w:hAnsi="Calibri"/>
          <w:b/>
          <w:color w:val="0A0A0A"/>
          <w:sz w:val="21"/>
        </w:rPr>
        <w:t>Senha incorreta resulta em HTTP 422 (`DomainError` "Senha incorreta."), nunca em HTTP 401</w:t>
      </w:r>
      <w:r>
        <w:rPr>
          <w:rFonts w:ascii="Calibri" w:hAnsi="Calibri"/>
          <w:b w:val="0"/>
          <w:i w:val="0"/>
          <w:color w:val="0A0A0A"/>
          <w:sz w:val="21"/>
        </w:rPr>
        <w:t xml:space="preserve"> — decisão deliberada, pois o front-end trata 401 como expiração de sessão e deslogaria o usuário. Antes de excluir, o sistema verifica também o pertencimento (</w:t>
      </w:r>
      <w:r>
        <w:rPr>
          <w:rFonts w:ascii="Consolas" w:hAnsi="Consolas"/>
          <w:color w:val="1F1F1F"/>
          <w:sz w:val="19"/>
          <w:shd w:val="clear" w:color="auto" w:fill="F4F4F4"/>
        </w:rPr>
        <w:t>belongs_to</w:t>
      </w:r>
      <w:r>
        <w:rPr>
          <w:rFonts w:ascii="Calibri" w:hAnsi="Calibri"/>
          <w:b w:val="0"/>
          <w:i w:val="0"/>
          <w:color w:val="0A0A0A"/>
          <w:sz w:val="21"/>
        </w:rPr>
        <w:t>), respondendo 404 se o paciente não for do médico.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RN-15 — Foto do paciente.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upload de foto (</w:t>
      </w:r>
      <w:r>
        <w:rPr>
          <w:rFonts w:ascii="Consolas" w:hAnsi="Consolas"/>
          <w:color w:val="1F1F1F"/>
          <w:sz w:val="19"/>
          <w:shd w:val="clear" w:color="auto" w:fill="F4F4F4"/>
        </w:rPr>
        <w:t>POST /pacientes/{id}/foto</w:t>
      </w:r>
      <w:r>
        <w:rPr>
          <w:rFonts w:ascii="Calibri" w:hAnsi="Calibri"/>
          <w:b w:val="0"/>
          <w:i w:val="0"/>
          <w:color w:val="0A0A0A"/>
          <w:sz w:val="21"/>
        </w:rPr>
        <w:t xml:space="preserve">) aceita uma imagem em base64, validada (base64 inválido resulta em 422), e a grava no sistema de arquivos em </w:t>
      </w:r>
      <w:r>
        <w:rPr>
          <w:rFonts w:ascii="Consolas" w:hAnsi="Consolas"/>
          <w:color w:val="1F1F1F"/>
          <w:sz w:val="19"/>
          <w:shd w:val="clear" w:color="auto" w:fill="F4F4F4"/>
        </w:rPr>
        <w:t>frontend/assets/uploads/paciente_{id}.jpg</w:t>
      </w:r>
      <w:r>
        <w:rPr>
          <w:rFonts w:ascii="Calibri" w:hAnsi="Calibri"/>
          <w:b w:val="0"/>
          <w:i w:val="0"/>
          <w:color w:val="0A0A0A"/>
          <w:sz w:val="21"/>
        </w:rPr>
        <w:t>. A foto só pode ser enviada/removida para pacientes do próprio médico (verificado via detalhe; 404 caso contrário). A exclusão definitiva do paciente também remove sua foto.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4. Submissão de anamnese e cálculo do escore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Endpoint: </w:t>
      </w:r>
      <w:r>
        <w:rPr>
          <w:rFonts w:ascii="Consolas" w:hAnsi="Consolas"/>
          <w:color w:val="1F1F1F"/>
          <w:sz w:val="19"/>
          <w:shd w:val="clear" w:color="auto" w:fill="F4F4F4"/>
        </w:rPr>
        <w:t>POST /api/v1/avaliacoes</w:t>
      </w:r>
      <w:r>
        <w:rPr>
          <w:rFonts w:ascii="Calibri" w:hAnsi="Calibri"/>
          <w:b w:val="0"/>
          <w:i w:val="0"/>
          <w:color w:val="0A0A0A"/>
          <w:sz w:val="21"/>
        </w:rPr>
        <w:t xml:space="preserve">. Caso de uso: </w:t>
      </w:r>
      <w:r>
        <w:rPr>
          <w:rFonts w:ascii="Consolas" w:hAnsi="Consolas"/>
          <w:color w:val="1F1F1F"/>
          <w:sz w:val="19"/>
          <w:shd w:val="clear" w:color="auto" w:fill="F4F4F4"/>
        </w:rPr>
        <w:t>SubmitAnamnesisUseCase</w:t>
      </w:r>
      <w:r>
        <w:rPr>
          <w:rFonts w:ascii="Calibri" w:hAnsi="Calibri"/>
          <w:b w:val="0"/>
          <w:i w:val="0"/>
          <w:color w:val="0A0A0A"/>
          <w:sz w:val="21"/>
        </w:rPr>
        <w:t xml:space="preserve">. Schema: </w:t>
      </w:r>
      <w:r>
        <w:rPr>
          <w:rFonts w:ascii="Consolas" w:hAnsi="Consolas"/>
          <w:color w:val="1F1F1F"/>
          <w:sz w:val="19"/>
          <w:shd w:val="clear" w:color="auto" w:fill="F4F4F4"/>
        </w:rPr>
        <w:t>SubmitAnamnesisRequest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RN-16 — Submissão consolidada e atômica.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finalização de uma triagem ocorre em um único endpoint e em uma única transação. O fluxo persiste, em sequência: a avaliação (rascunho), o acompanhante da visita, o registro de análise, as respostas do checklist e o histórico familiar; em seguida calcula o escore; cria o encaminhamento quando recomendado; e registra a auditoria. Qualquer falha desfaz a transação inteira (rollback).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RN-17 — O checklist não pode ser vazio.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campo </w:t>
      </w:r>
      <w:r>
        <w:rPr>
          <w:rFonts w:ascii="Consolas" w:hAnsi="Consolas"/>
          <w:color w:val="1F1F1F"/>
          <w:sz w:val="19"/>
          <w:shd w:val="clear" w:color="auto" w:fill="F4F4F4"/>
        </w:rPr>
        <w:t>respostas</w:t>
      </w:r>
      <w:r>
        <w:rPr>
          <w:rFonts w:ascii="Calibri" w:hAnsi="Calibri"/>
          <w:b w:val="0"/>
          <w:i w:val="0"/>
          <w:color w:val="0A0A0A"/>
          <w:sz w:val="21"/>
        </w:rPr>
        <w:t xml:space="preserve"> exige </w:t>
      </w:r>
      <w:r>
        <w:rPr>
          <w:rFonts w:ascii="Consolas" w:hAnsi="Consolas"/>
          <w:color w:val="1F1F1F"/>
          <w:sz w:val="19"/>
          <w:shd w:val="clear" w:color="auto" w:fill="F4F4F4"/>
        </w:rPr>
        <w:t>min_length=1</w:t>
      </w:r>
      <w:r>
        <w:rPr>
          <w:rFonts w:ascii="Calibri" w:hAnsi="Calibri"/>
          <w:b w:val="0"/>
          <w:i w:val="0"/>
          <w:color w:val="0A0A0A"/>
          <w:sz w:val="21"/>
        </w:rPr>
        <w:t xml:space="preserve">: ao menos uma resposta de sintoma deve ser enviada, ou a validação falha com HTTP 422. Cada resposta tem </w:t>
      </w:r>
      <w:r>
        <w:rPr>
          <w:rFonts w:ascii="Consolas" w:hAnsi="Consolas"/>
          <w:color w:val="1F1F1F"/>
          <w:sz w:val="19"/>
          <w:shd w:val="clear" w:color="auto" w:fill="F4F4F4"/>
        </w:rPr>
        <w:t>sintoma_id</w:t>
      </w:r>
      <w:r>
        <w:rPr>
          <w:rFonts w:ascii="Calibri" w:hAnsi="Calibri"/>
          <w:b w:val="0"/>
          <w:i w:val="0"/>
          <w:color w:val="0A0A0A"/>
          <w:sz w:val="21"/>
        </w:rPr>
        <w:t xml:space="preserve"> ≥ 1, </w:t>
      </w:r>
      <w:r>
        <w:rPr>
          <w:rFonts w:ascii="Consolas" w:hAnsi="Consolas"/>
          <w:color w:val="1F1F1F"/>
          <w:sz w:val="19"/>
          <w:shd w:val="clear" w:color="auto" w:fill="F4F4F4"/>
        </w:rPr>
        <w:t>presente</w:t>
      </w:r>
      <w:r>
        <w:rPr>
          <w:rFonts w:ascii="Calibri" w:hAnsi="Calibri"/>
          <w:b w:val="0"/>
          <w:i w:val="0"/>
          <w:color w:val="0A0A0A"/>
          <w:sz w:val="21"/>
        </w:rPr>
        <w:t xml:space="preserve"> (booleano) e </w:t>
      </w:r>
      <w:r>
        <w:rPr>
          <w:rFonts w:ascii="Consolas" w:hAnsi="Consolas"/>
          <w:color w:val="1F1F1F"/>
          <w:sz w:val="19"/>
          <w:shd w:val="clear" w:color="auto" w:fill="F4F4F4"/>
        </w:rPr>
        <w:t>observacao</w:t>
      </w:r>
      <w:r>
        <w:rPr>
          <w:rFonts w:ascii="Calibri" w:hAnsi="Calibri"/>
          <w:b w:val="0"/>
          <w:i w:val="0"/>
          <w:color w:val="0A0A0A"/>
          <w:sz w:val="21"/>
        </w:rPr>
        <w:t xml:space="preserve"> opcional (máx. 500 caracteres).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RN-18 — O escore é calculado no banco de dados.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regra de escore não está em Python. O </w:t>
      </w:r>
      <w:r>
        <w:rPr>
          <w:rFonts w:ascii="Consolas" w:hAnsi="Consolas"/>
          <w:color w:val="1F1F1F"/>
          <w:sz w:val="19"/>
          <w:shd w:val="clear" w:color="auto" w:fill="F4F4F4"/>
        </w:rPr>
        <w:t>SymptomScoringOrchestrator</w:t>
      </w:r>
      <w:r>
        <w:rPr>
          <w:rFonts w:ascii="Calibri" w:hAnsi="Calibri"/>
          <w:b w:val="0"/>
          <w:i w:val="0"/>
          <w:color w:val="0A0A0A"/>
          <w:sz w:val="21"/>
        </w:rPr>
        <w:t xml:space="preserve"> apenas executa </w:t>
      </w:r>
      <w:r>
        <w:rPr>
          <w:rFonts w:ascii="Consolas" w:hAnsi="Consolas"/>
          <w:color w:val="1F1F1F"/>
          <w:sz w:val="19"/>
          <w:shd w:val="clear" w:color="auto" w:fill="F4F4F4"/>
        </w:rPr>
        <w:t>SELECT * FROM fn_calcular_score_triagem(:avaliacao_id)</w:t>
      </w:r>
      <w:r>
        <w:rPr>
          <w:rFonts w:ascii="Calibri" w:hAnsi="Calibri"/>
          <w:b w:val="0"/>
          <w:i w:val="0"/>
          <w:color w:val="0A0A0A"/>
          <w:sz w:val="21"/>
        </w:rPr>
        <w:t xml:space="preserve">. A função do banco lê as respostas, multiplica cada sintoma presente pelo peso correspondente ao sexo do paciente, soma para obter o </w:t>
      </w:r>
      <w:r>
        <w:rPr>
          <w:rFonts w:ascii="Consolas" w:hAnsi="Consolas"/>
          <w:color w:val="1F1F1F"/>
          <w:sz w:val="19"/>
          <w:shd w:val="clear" w:color="auto" w:fill="F4F4F4"/>
        </w:rPr>
        <w:t>score_final</w:t>
      </w:r>
      <w:r>
        <w:rPr>
          <w:rFonts w:ascii="Calibri" w:hAnsi="Calibri"/>
          <w:b w:val="0"/>
          <w:i w:val="0"/>
          <w:color w:val="0A0A0A"/>
          <w:sz w:val="21"/>
        </w:rPr>
        <w:t xml:space="preserve">, compara com o limiar vigente, registra a análise em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atualiza </w:t>
      </w:r>
      <w:r>
        <w:rPr>
          <w:rFonts w:ascii="Consolas" w:hAnsi="Consolas"/>
          <w:color w:val="1F1F1F"/>
          <w:sz w:val="19"/>
          <w:shd w:val="clear" w:color="auto" w:fill="F4F4F4"/>
        </w:rPr>
        <w:t>tb_avaliacoes</w:t>
      </w:r>
      <w:r>
        <w:rPr>
          <w:rFonts w:ascii="Calibri" w:hAnsi="Calibri"/>
          <w:b w:val="0"/>
          <w:i w:val="0"/>
          <w:color w:val="0A0A0A"/>
          <w:sz w:val="21"/>
        </w:rPr>
        <w:t xml:space="preserve"> (mudando o </w:t>
      </w:r>
      <w:r>
        <w:rPr>
          <w:rFonts w:ascii="Consolas" w:hAnsi="Consolas"/>
          <w:color w:val="1F1F1F"/>
          <w:sz w:val="19"/>
          <w:shd w:val="clear" w:color="auto" w:fill="F4F4F4"/>
        </w:rPr>
        <w:t>status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</w:t>
      </w:r>
      <w:r>
        <w:rPr>
          <w:rFonts w:ascii="Consolas" w:hAnsi="Consolas"/>
          <w:color w:val="1F1F1F"/>
          <w:sz w:val="19"/>
          <w:shd w:val="clear" w:color="auto" w:fill="F4F4F4"/>
        </w:rPr>
        <w:t>finalizada</w:t>
      </w:r>
      <w:r>
        <w:rPr>
          <w:rFonts w:ascii="Calibri" w:hAnsi="Calibri"/>
          <w:b w:val="0"/>
          <w:i w:val="0"/>
          <w:color w:val="0A0A0A"/>
          <w:sz w:val="21"/>
        </w:rPr>
        <w:t>). O back-end não duplica essa fórmula.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RN-19 — Catálogo de sintomas e pesos por sexo.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escore é a soma ponderada dos 12 sintomas marcados como presentes. Os pesos são calibrados separadamente para os sexos masculino e feminino, refletindo a manifestação clínica distinta da síndrome. Valores vigentes no banco: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825"/>
        <w:gridCol w:w="4680"/>
        <w:gridCol w:w="963"/>
        <w:gridCol w:w="963"/>
        <w:gridCol w:w="1927"/>
      </w:tblGrid>
      <w:tr>
        <w:trPr>
          <w:tblHeader/>
          <w:cantSplit/>
        </w:trPr>
        <w:tc>
          <w:tcPr>
            <w:tcW w:type="dxa" w:w="825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468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Sintoma</w:t>
            </w:r>
          </w:p>
        </w:tc>
        <w:tc>
          <w:tcPr>
            <w:tcW w:type="dxa" w:w="963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Peso M</w:t>
            </w:r>
          </w:p>
        </w:tc>
        <w:tc>
          <w:tcPr>
            <w:tcW w:type="dxa" w:w="963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Peso F</w:t>
            </w:r>
          </w:p>
        </w:tc>
        <w:tc>
          <w:tcPr>
            <w:tcW w:type="dxa" w:w="1927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Exclusivo M</w:t>
            </w:r>
          </w:p>
        </w:tc>
      </w:tr>
      <w:tr>
        <w:trPr>
          <w:cantSplit/>
        </w:trPr>
        <w:tc>
          <w:tcPr>
            <w:tcW w:type="dxa" w:w="82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</w:t>
            </w:r>
          </w:p>
        </w:tc>
        <w:tc>
          <w:tcPr>
            <w:tcW w:type="dxa" w:w="468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Deficiência intelectual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0.32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0.20</w:t>
            </w:r>
          </w:p>
        </w:tc>
        <w:tc>
          <w:tcPr>
            <w:tcW w:type="dxa" w:w="192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2</w:t>
            </w:r>
          </w:p>
        </w:tc>
        <w:tc>
          <w:tcPr>
            <w:tcW w:type="dxa" w:w="468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Face alongada / orelhas salientes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0.29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0.09</w:t>
            </w:r>
          </w:p>
        </w:tc>
        <w:tc>
          <w:tcPr>
            <w:tcW w:type="dxa" w:w="192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3</w:t>
            </w:r>
          </w:p>
        </w:tc>
        <w:tc>
          <w:tcPr>
            <w:tcW w:type="dxa" w:w="468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Macroorquidismo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0.26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  <w:tc>
          <w:tcPr>
            <w:tcW w:type="dxa" w:w="192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Sim</w:t>
            </w:r>
          </w:p>
        </w:tc>
      </w:tr>
      <w:tr>
        <w:trPr>
          <w:cantSplit/>
        </w:trPr>
        <w:tc>
          <w:tcPr>
            <w:tcW w:type="dxa" w:w="82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4</w:t>
            </w:r>
          </w:p>
        </w:tc>
        <w:tc>
          <w:tcPr>
            <w:tcW w:type="dxa" w:w="468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Hipermobilidade articular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0.19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0.04</w:t>
            </w:r>
          </w:p>
        </w:tc>
        <w:tc>
          <w:tcPr>
            <w:tcW w:type="dxa" w:w="192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5</w:t>
            </w:r>
          </w:p>
        </w:tc>
        <w:tc>
          <w:tcPr>
            <w:tcW w:type="dxa" w:w="468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Dificuldades de aprendizagem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0.18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0.28</w:t>
            </w:r>
          </w:p>
        </w:tc>
        <w:tc>
          <w:tcPr>
            <w:tcW w:type="dxa" w:w="192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6</w:t>
            </w:r>
          </w:p>
        </w:tc>
        <w:tc>
          <w:tcPr>
            <w:tcW w:type="dxa" w:w="468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Déficit de atenção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0.17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0.12</w:t>
            </w:r>
          </w:p>
        </w:tc>
        <w:tc>
          <w:tcPr>
            <w:tcW w:type="dxa" w:w="192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7</w:t>
            </w:r>
          </w:p>
        </w:tc>
        <w:tc>
          <w:tcPr>
            <w:tcW w:type="dxa" w:w="468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Movimentos repetitivos (estereotipias)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0.17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0.05</w:t>
            </w:r>
          </w:p>
        </w:tc>
        <w:tc>
          <w:tcPr>
            <w:tcW w:type="dxa" w:w="192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8</w:t>
            </w:r>
          </w:p>
        </w:tc>
        <w:tc>
          <w:tcPr>
            <w:tcW w:type="dxa" w:w="468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Atraso na fala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0.14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0.01</w:t>
            </w:r>
          </w:p>
        </w:tc>
        <w:tc>
          <w:tcPr>
            <w:tcW w:type="dxa" w:w="192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9</w:t>
            </w:r>
          </w:p>
        </w:tc>
        <w:tc>
          <w:tcPr>
            <w:tcW w:type="dxa" w:w="468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Hiperatividade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0.12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0.04</w:t>
            </w:r>
          </w:p>
        </w:tc>
        <w:tc>
          <w:tcPr>
            <w:tcW w:type="dxa" w:w="192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10</w:t>
            </w:r>
          </w:p>
        </w:tc>
        <w:tc>
          <w:tcPr>
            <w:tcW w:type="dxa" w:w="468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Evita contato visual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0.06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0.08</w:t>
            </w:r>
          </w:p>
        </w:tc>
        <w:tc>
          <w:tcPr>
            <w:tcW w:type="dxa" w:w="192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11</w:t>
            </w:r>
          </w:p>
        </w:tc>
        <w:tc>
          <w:tcPr>
            <w:tcW w:type="dxa" w:w="468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Evita contato físico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0.04</w:t>
            </w:r>
          </w:p>
        </w:tc>
        <w:tc>
          <w:tcPr>
            <w:tcW w:type="dxa" w:w="963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0.07</w:t>
            </w:r>
          </w:p>
        </w:tc>
        <w:tc>
          <w:tcPr>
            <w:tcW w:type="dxa" w:w="192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825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12</w:t>
            </w:r>
          </w:p>
        </w:tc>
        <w:tc>
          <w:tcPr>
            <w:tcW w:type="dxa" w:w="468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Agressividade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0.01</w:t>
            </w:r>
          </w:p>
        </w:tc>
        <w:tc>
          <w:tcPr>
            <w:tcW w:type="dxa" w:w="963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0.02</w:t>
            </w:r>
          </w:p>
        </w:tc>
        <w:tc>
          <w:tcPr>
            <w:tcW w:type="dxa" w:w="1927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—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O macroorquidismo, por ser exclusivamente masculino, não possui peso feminino. Note que alguns sintomas pesam mais no sexo feminino (por exemplo, "dificuldades de aprendizagem": 0.28 em F contra 0.18 em M).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RN-20 — Limiares de decisão por sexo.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recomendação de exame é determinada pela comparação do escore com um limiar específico do sexo, vindo da tabela </w:t>
      </w:r>
      <w:r>
        <w:rPr>
          <w:rFonts w:ascii="Consolas" w:hAnsi="Consolas"/>
          <w:color w:val="1F1F1F"/>
          <w:sz w:val="19"/>
          <w:shd w:val="clear" w:color="auto" w:fill="F4F4F4"/>
        </w:rPr>
        <w:t>parametro_triagem</w:t>
      </w:r>
      <w:r>
        <w:rPr>
          <w:rFonts w:ascii="Calibri" w:hAnsi="Calibri"/>
          <w:b w:val="0"/>
          <w:i w:val="0"/>
          <w:color w:val="0A0A0A"/>
          <w:sz w:val="21"/>
        </w:rPr>
        <w:t xml:space="preserve"> (linha ativa):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684"/>
        <w:gridCol w:w="3081"/>
        <w:gridCol w:w="684"/>
        <w:gridCol w:w="2168"/>
        <w:gridCol w:w="2739"/>
      </w:tblGrid>
      <w:tr>
        <w:trPr>
          <w:tblHeader/>
          <w:cantSplit/>
        </w:trPr>
        <w:tc>
          <w:tcPr>
            <w:tcW w:type="dxa" w:w="684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Sexo</w:t>
            </w:r>
          </w:p>
        </w:tc>
        <w:tc>
          <w:tcPr>
            <w:tcW w:type="dxa" w:w="3081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Limiar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limiar_score</w:t>
            </w: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)</w:t>
            </w:r>
          </w:p>
        </w:tc>
        <w:tc>
          <w:tcPr>
            <w:tcW w:type="dxa" w:w="684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AUC</w:t>
            </w:r>
          </w:p>
        </w:tc>
        <w:tc>
          <w:tcPr>
            <w:tcW w:type="dxa" w:w="2168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Sensibilidade</w:t>
            </w:r>
          </w:p>
        </w:tc>
        <w:tc>
          <w:tcPr>
            <w:tcW w:type="dxa" w:w="2739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Versão do parâmetro</w:t>
            </w:r>
          </w:p>
        </w:tc>
      </w:tr>
      <w:tr>
        <w:trPr>
          <w:cantSplit/>
        </w:trPr>
        <w:tc>
          <w:tcPr>
            <w:tcW w:type="dxa" w:w="684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M</w:t>
            </w:r>
          </w:p>
        </w:tc>
        <w:tc>
          <w:tcPr>
            <w:tcW w:type="dxa" w:w="3081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0.56</w:t>
            </w:r>
          </w:p>
        </w:tc>
        <w:tc>
          <w:tcPr>
            <w:tcW w:type="dxa" w:w="684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0.73</w:t>
            </w:r>
          </w:p>
        </w:tc>
        <w:tc>
          <w:tcPr>
            <w:tcW w:type="dxa" w:w="2168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95%</w:t>
            </w:r>
          </w:p>
        </w:tc>
        <w:tc>
          <w:tcPr>
            <w:tcW w:type="dxa" w:w="2739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ROMERO_2025_v1_M</w:t>
            </w:r>
          </w:p>
        </w:tc>
      </w:tr>
      <w:tr>
        <w:trPr>
          <w:cantSplit/>
        </w:trPr>
        <w:tc>
          <w:tcPr>
            <w:tcW w:type="dxa" w:w="684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F</w:t>
            </w:r>
          </w:p>
        </w:tc>
        <w:tc>
          <w:tcPr>
            <w:tcW w:type="dxa" w:w="3081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0.55</w:t>
            </w:r>
          </w:p>
        </w:tc>
        <w:tc>
          <w:tcPr>
            <w:tcW w:type="dxa" w:w="684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0.76</w:t>
            </w:r>
          </w:p>
        </w:tc>
        <w:tc>
          <w:tcPr>
            <w:tcW w:type="dxa" w:w="2168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95%</w:t>
            </w:r>
          </w:p>
        </w:tc>
        <w:tc>
          <w:tcPr>
            <w:tcW w:type="dxa" w:w="2739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ROMERO_2025_v1_F</w:t>
            </w:r>
          </w:p>
        </w:tc>
      </w:tr>
    </w:tbl>
    <w:p>
      <w:pPr>
        <w:spacing w:after="40" w:before="0"/>
      </w:pP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RN-21 — Regra de decisão de `recomenda_exame`.</w:t>
      </w:r>
      <w:r>
        <w:rPr>
          <w:rFonts w:ascii="Calibri" w:hAnsi="Calibri"/>
          <w:b w:val="0"/>
          <w:i w:val="0"/>
          <w:color w:val="0A0A0A"/>
          <w:sz w:val="21"/>
        </w:rPr>
        <w:t xml:space="preserve"> Calculada pela view </w:t>
      </w:r>
      <w:r>
        <w:rPr>
          <w:rFonts w:ascii="Consolas" w:hAnsi="Consolas"/>
          <w:color w:val="1F1F1F"/>
          <w:sz w:val="19"/>
          <w:shd w:val="clear" w:color="auto" w:fill="F4F4F4"/>
        </w:rPr>
        <w:t>avaliacoes</w:t>
      </w:r>
      <w:r>
        <w:rPr>
          <w:rFonts w:ascii="Calibri" w:hAnsi="Calibri"/>
          <w:b w:val="0"/>
          <w:i w:val="0"/>
          <w:color w:val="0A0A0A"/>
          <w:sz w:val="21"/>
        </w:rPr>
        <w:t xml:space="preserve"> e replicada conceitualmente na função de escore:</w:t>
      </w:r>
    </w:p>
    <w:p>
      <w:pPr>
        <w:keepLines/>
        <w:spacing w:before="80" w:after="180" w:line="240" w:lineRule="auto"/>
        <w:ind w:left="173" w:right="72"/>
        <w:shd w:val="clear" w:color="auto" w:fill="F4F4F4"/>
        <w:pBdr>
          <w:top w:val="single" w:sz="4" w:space="6" w:color="DDDDDD"/>
          <w:bottom w:val="single" w:sz="4" w:space="6" w:color="DDDDDD"/>
          <w:left w:val="single" w:sz="4" w:space="6" w:color="DDDDDD"/>
          <w:right w:val="single" w:sz="4" w:space="6" w:color="DDDDDD"/>
        </w:pBdr>
      </w:pPr>
      <w:r>
        <w:rPr>
          <w:rFonts w:ascii="Consolas" w:hAnsi="Consolas"/>
          <w:color w:val="222222"/>
          <w:sz w:val="17"/>
        </w:rPr>
        <w:t>recomenda_exame =</w:t>
        <w:br/>
        <w:t xml:space="preserve">    NULL                          se score_final ainda e NULL (avaliacao nao finalizada)</w:t>
        <w:br/>
        <w:t xml:space="preserve">    false                         se diagnostico_previo_fxs = true</w:t>
        <w:br/>
        <w:t xml:space="preserve">    score_final &gt;= limiar(sexo)   caso contrario  (M: 0.56 · F: 0.55)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RN-22 — Diagnóstico prévio suprime a recomendação, não o escore.</w:t>
      </w:r>
      <w:r>
        <w:rPr>
          <w:rFonts w:ascii="Calibri" w:hAnsi="Calibri"/>
          <w:b w:val="0"/>
          <w:i w:val="0"/>
          <w:color w:val="0A0A0A"/>
          <w:sz w:val="21"/>
        </w:rPr>
        <w:t xml:space="preserve"> Se </w:t>
      </w:r>
      <w:r>
        <w:rPr>
          <w:rFonts w:ascii="Consolas" w:hAnsi="Consolas"/>
          <w:color w:val="1F1F1F"/>
          <w:sz w:val="19"/>
          <w:shd w:val="clear" w:color="auto" w:fill="F4F4F4"/>
        </w:rPr>
        <w:t>diagnostico_previo_fxs</w:t>
      </w:r>
      <w:r>
        <w:rPr>
          <w:rFonts w:ascii="Calibri" w:hAnsi="Calibri"/>
          <w:b w:val="0"/>
          <w:i w:val="0"/>
          <w:color w:val="0A0A0A"/>
          <w:sz w:val="21"/>
        </w:rPr>
        <w:t xml:space="preserve"> for verdadeiro, o escore ainda é calculado e registrado (para auditoria do modelo), mas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forçado a </w:t>
      </w:r>
      <w:r>
        <w:rPr>
          <w:rFonts w:ascii="Consolas" w:hAnsi="Consolas"/>
          <w:color w:val="1F1F1F"/>
          <w:sz w:val="19"/>
          <w:shd w:val="clear" w:color="auto" w:fill="F4F4F4"/>
        </w:rPr>
        <w:t>false</w:t>
      </w:r>
      <w:r>
        <w:rPr>
          <w:rFonts w:ascii="Calibri" w:hAnsi="Calibri"/>
          <w:b w:val="0"/>
          <w:i w:val="0"/>
          <w:color w:val="0A0A0A"/>
          <w:sz w:val="21"/>
        </w:rPr>
        <w:t xml:space="preserve"> e, por consequência, nenhum encaminhamento automático é criado.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RN-23 — Encaminhamento automático ao exame FMR1.</w:t>
      </w:r>
      <w:r>
        <w:rPr>
          <w:rFonts w:ascii="Calibri" w:hAnsi="Calibri"/>
          <w:b w:val="0"/>
          <w:i w:val="0"/>
          <w:color w:val="0A0A0A"/>
          <w:sz w:val="21"/>
        </w:rPr>
        <w:t xml:space="preserve"> Quando, e somente quando,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verdadeiro, o sistema cria automaticamente um encaminhamento do tipo </w:t>
      </w:r>
      <w:r>
        <w:rPr>
          <w:rFonts w:ascii="Consolas" w:hAnsi="Consolas"/>
          <w:color w:val="1F1F1F"/>
          <w:sz w:val="19"/>
          <w:shd w:val="clear" w:color="auto" w:fill="F4F4F4"/>
        </w:rPr>
        <w:t>exame_fmr1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</w:t>
      </w:r>
      <w:r>
        <w:rPr>
          <w:rFonts w:ascii="Consolas" w:hAnsi="Consolas"/>
          <w:color w:val="1F1F1F"/>
          <w:sz w:val="19"/>
          <w:shd w:val="clear" w:color="auto" w:fill="F4F4F4"/>
        </w:rPr>
        <w:t>tb_encaminhamentos</w:t>
      </w:r>
      <w:r>
        <w:rPr>
          <w:rFonts w:ascii="Calibri" w:hAnsi="Calibri"/>
          <w:b w:val="0"/>
          <w:i w:val="0"/>
          <w:color w:val="0A0A0A"/>
          <w:sz w:val="21"/>
        </w:rPr>
        <w:t xml:space="preserve">, com </w:t>
      </w:r>
      <w:r>
        <w:rPr>
          <w:rFonts w:ascii="Consolas" w:hAnsi="Consolas"/>
          <w:color w:val="1F1F1F"/>
          <w:sz w:val="19"/>
          <w:shd w:val="clear" w:color="auto" w:fill="F4F4F4"/>
        </w:rPr>
        <w:t>gerado_automaticamente = TRUE</w:t>
      </w:r>
      <w:r>
        <w:rPr>
          <w:rFonts w:ascii="Calibri" w:hAnsi="Calibri"/>
          <w:b w:val="0"/>
          <w:i w:val="0"/>
          <w:color w:val="0A0A0A"/>
          <w:sz w:val="21"/>
        </w:rPr>
        <w:t xml:space="preserve"> e a justificativa "Score de triagem igual ou acima do limiar para o sexo do paciente.".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RN-24 — Histórico familiar coletado uma vez por avaliação.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histórico familiar é registrado uma única vez por avaliação (restrição UNIQUE em </w:t>
      </w:r>
      <w:r>
        <w:rPr>
          <w:rFonts w:ascii="Consolas" w:hAnsi="Consolas"/>
          <w:color w:val="1F1F1F"/>
          <w:sz w:val="19"/>
          <w:shd w:val="clear" w:color="auto" w:fill="F4F4F4"/>
        </w:rPr>
        <w:t>tb_historico_familiar.avaliacao_id</w:t>
      </w:r>
      <w:r>
        <w:rPr>
          <w:rFonts w:ascii="Calibri" w:hAnsi="Calibri"/>
          <w:b w:val="0"/>
          <w:i w:val="0"/>
          <w:color w:val="0A0A0A"/>
          <w:sz w:val="21"/>
        </w:rPr>
        <w:t xml:space="preserve">). São oito achados hereditários booleanos — deficiência intelectual, falência ovariana precoce, autismo na família, epilepsia, infertilidade masculina, menopausa precoce, abortos recorrentes e tremor/ataxia familiar — mais um campo livre </w:t>
      </w:r>
      <w:r>
        <w:rPr>
          <w:rFonts w:ascii="Consolas" w:hAnsi="Consolas"/>
          <w:color w:val="1F1F1F"/>
          <w:sz w:val="19"/>
          <w:shd w:val="clear" w:color="auto" w:fill="F4F4F4"/>
        </w:rPr>
        <w:t>descricao_outros</w:t>
      </w:r>
      <w:r>
        <w:rPr>
          <w:rFonts w:ascii="Calibri" w:hAnsi="Calibri"/>
          <w:b w:val="0"/>
          <w:i w:val="0"/>
          <w:color w:val="0A0A0A"/>
          <w:sz w:val="21"/>
        </w:rPr>
        <w:t xml:space="preserve"> (máx. 500 caracteres). Esses achados refletem condições do espectro FMR1 em familiares.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RN-25 — Hierarquia de criticidade das etapas.</w:t>
      </w:r>
      <w:r>
        <w:rPr>
          <w:rFonts w:ascii="Calibri" w:hAnsi="Calibri"/>
          <w:b w:val="0"/>
          <w:i w:val="0"/>
          <w:color w:val="0A0A0A"/>
          <w:sz w:val="21"/>
        </w:rPr>
        <w:t xml:space="preserve"> As etapas de persistência do histórico familiar e de criação do encaminhamento são </w:t>
      </w:r>
      <w:r>
        <w:rPr>
          <w:rFonts w:ascii="Calibri" w:hAnsi="Calibri"/>
          <w:b/>
          <w:color w:val="0A0A0A"/>
          <w:sz w:val="21"/>
        </w:rPr>
        <w:t>fatais</w:t>
      </w:r>
      <w:r>
        <w:rPr>
          <w:rFonts w:ascii="Calibri" w:hAnsi="Calibri"/>
          <w:b w:val="0"/>
          <w:i w:val="0"/>
          <w:color w:val="0A0A0A"/>
          <w:sz w:val="21"/>
        </w:rPr>
        <w:t xml:space="preserve">: se falharem, a transação é desfeita. Já o registro de auditoria é </w:t>
      </w:r>
      <w:r>
        <w:rPr>
          <w:rFonts w:ascii="Calibri" w:hAnsi="Calibri"/>
          <w:b/>
          <w:color w:val="0A0A0A"/>
          <w:sz w:val="21"/>
        </w:rPr>
        <w:t>best-effort</w:t>
      </w:r>
      <w:r>
        <w:rPr>
          <w:rFonts w:ascii="Calibri" w:hAnsi="Calibri"/>
          <w:b w:val="0"/>
          <w:i w:val="0"/>
          <w:color w:val="0A0A0A"/>
          <w:sz w:val="21"/>
        </w:rPr>
        <w:t>: roda dentro de um SAVEPOINT com tratamento de exceção que absorve a falha, de modo que a indisponibilidade da função de auditoria não interrompe o fluxo clínico.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RN-26 — Prévia de escore no cliente é apenas indicativa.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tela de Triagem calcula um escore de prévia localmente (com os mesmos pesos e limiares) para antecipar o resultado ao médico antes do envio. O valor oficial, contudo, é sempre o devolvido pelo back-end. A prévia não substitui o cálculo do banco.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RN-27 — Erro de banco no fluxo clínico vira HTTP 502.</w:t>
      </w:r>
      <w:r>
        <w:rPr>
          <w:rFonts w:ascii="Calibri" w:hAnsi="Calibri"/>
          <w:b w:val="0"/>
          <w:i w:val="0"/>
          <w:color w:val="0A0A0A"/>
          <w:sz w:val="21"/>
        </w:rPr>
        <w:t xml:space="preserve"> Se qualquer etapa do fluxo de submissão lançar </w:t>
      </w:r>
      <w:r>
        <w:rPr>
          <w:rFonts w:ascii="Consolas" w:hAnsi="Consolas"/>
          <w:color w:val="1F1F1F"/>
          <w:sz w:val="19"/>
          <w:shd w:val="clear" w:color="auto" w:fill="F4F4F4"/>
        </w:rPr>
        <w:t>RuntimeError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ou </w:t>
      </w:r>
      <w:r>
        <w:rPr>
          <w:rFonts w:ascii="Consolas" w:hAnsi="Consolas"/>
          <w:color w:val="1F1F1F"/>
          <w:sz w:val="19"/>
          <w:shd w:val="clear" w:color="auto" w:fill="F4F4F4"/>
        </w:rPr>
        <w:t>ValueError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(por exemplo, um </w:t>
      </w:r>
      <w:r>
        <w:rPr>
          <w:rFonts w:ascii="Consolas" w:hAnsi="Consolas"/>
          <w:color w:val="1F1F1F"/>
          <w:sz w:val="19"/>
          <w:shd w:val="clear" w:color="auto" w:fill="F4F4F4"/>
        </w:rPr>
        <w:t>RETURNING</w:t>
      </w:r>
      <w:r>
        <w:rPr>
          <w:rFonts w:ascii="Calibri" w:hAnsi="Calibri"/>
          <w:b w:val="0"/>
          <w:i w:val="0"/>
          <w:color w:val="0A0A0A"/>
          <w:sz w:val="21"/>
        </w:rPr>
        <w:t xml:space="preserve"> vazio), o router converte o erro em HTTP 502 (Bad Gateway), com a mensagem de erro de banco.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5. Histórico, dashboard e relatórios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RN-28 — Histórico de avaliações do paciente.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GET /pacientes/{id}/historico</w:t>
      </w:r>
      <w:r>
        <w:rPr>
          <w:rFonts w:ascii="Calibri" w:hAnsi="Calibri"/>
          <w:b w:val="0"/>
          <w:i w:val="0"/>
          <w:color w:val="0A0A0A"/>
          <w:sz w:val="21"/>
        </w:rPr>
        <w:t xml:space="preserve"> lista as avaliações de um paciente, com RBAC aplicado no JOIN (</w:t>
      </w:r>
      <w:r>
        <w:rPr>
          <w:rFonts w:ascii="Consolas" w:hAnsi="Consolas"/>
          <w:color w:val="1F1F1F"/>
          <w:sz w:val="19"/>
          <w:shd w:val="clear" w:color="auto" w:fill="F4F4F4"/>
        </w:rPr>
        <w:t>WHERE a.paciente_id = :id AND p.criado_por = :usuario_id</w:t>
      </w:r>
      <w:r>
        <w:rPr>
          <w:rFonts w:ascii="Calibri" w:hAnsi="Calibri"/>
          <w:b w:val="0"/>
          <w:i w:val="0"/>
          <w:color w:val="0A0A0A"/>
          <w:sz w:val="21"/>
        </w:rPr>
        <w:t>). Uma lista vazia é resultado legítimo (paciente sem avaliações), não um erro.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RN-29 — Resumo operacional do médico (sem anonimização).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GET /dashboard/summary</w:t>
      </w:r>
      <w:r>
        <w:rPr>
          <w:rFonts w:ascii="Calibri" w:hAnsi="Calibri"/>
          <w:b w:val="0"/>
          <w:i w:val="0"/>
          <w:color w:val="0A0A0A"/>
          <w:sz w:val="21"/>
        </w:rPr>
        <w:t xml:space="preserve"> retorna números exclusivos do médico autenticado: total de pacientes, avaliações de hoje, avaliações dos últimos 7 dias e a taxa de recomendação de exame (proporção de avaliações com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 = TRUE</w:t>
      </w:r>
      <w:r>
        <w:rPr>
          <w:rFonts w:ascii="Calibri" w:hAnsi="Calibri"/>
          <w:b w:val="0"/>
          <w:i w:val="0"/>
          <w:color w:val="0A0A0A"/>
          <w:sz w:val="21"/>
        </w:rPr>
        <w:t>, arredondada a 4 casas). Não há guarda de k-anonimato aqui, pois não há agregação entre pacientes de médicos diferentes.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RN-30 — Estatísticas agregadas com guarda de k-anonimato (LGPD).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GET /dashboard/stats</w:t>
      </w:r>
      <w:r>
        <w:rPr>
          <w:rFonts w:ascii="Calibri" w:hAnsi="Calibri"/>
          <w:b w:val="0"/>
          <w:i w:val="0"/>
          <w:color w:val="0A0A0A"/>
          <w:sz w:val="21"/>
        </w:rPr>
        <w:t xml:space="preserve"> lê a view materializada anonimizada (</w:t>
      </w:r>
      <w:r>
        <w:rPr>
          <w:rFonts w:ascii="Consolas" w:hAnsi="Consolas"/>
          <w:color w:val="1F1F1F"/>
          <w:sz w:val="19"/>
          <w:shd w:val="clear" w:color="auto" w:fill="F4F4F4"/>
        </w:rPr>
        <w:t>vw_dashboard_anonimizado</w:t>
      </w:r>
      <w:r>
        <w:rPr>
          <w:rFonts w:ascii="Calibri" w:hAnsi="Calibri"/>
          <w:b w:val="0"/>
          <w:i w:val="0"/>
          <w:color w:val="0A0A0A"/>
          <w:sz w:val="21"/>
        </w:rPr>
        <w:t xml:space="preserve">, sem dado pessoal) e aplica k-anonimato no nível de aplicação: se </w:t>
      </w:r>
      <w:r>
        <w:rPr>
          <w:rFonts w:ascii="Calibri" w:hAnsi="Calibri"/>
          <w:b/>
          <w:color w:val="0A0A0A"/>
          <w:sz w:val="21"/>
        </w:rPr>
        <w:t>qualquer</w:t>
      </w:r>
      <w:r>
        <w:rPr>
          <w:rFonts w:ascii="Calibri" w:hAnsi="Calibri"/>
          <w:b w:val="0"/>
          <w:i w:val="0"/>
          <w:color w:val="0A0A0A"/>
          <w:sz w:val="21"/>
        </w:rPr>
        <w:t xml:space="preserve"> grupo agregado retornado tiver menos de 5 avaliações (</w:t>
      </w:r>
      <w:r>
        <w:rPr>
          <w:rFonts w:ascii="Consolas" w:hAnsi="Consolas"/>
          <w:color w:val="1F1F1F"/>
          <w:sz w:val="19"/>
          <w:shd w:val="clear" w:color="auto" w:fill="F4F4F4"/>
        </w:rPr>
        <w:t>K_ANONYMITY_THRESHOLD = 5</w:t>
      </w:r>
      <w:r>
        <w:rPr>
          <w:rFonts w:ascii="Calibri" w:hAnsi="Calibri"/>
          <w:b w:val="0"/>
          <w:i w:val="0"/>
          <w:color w:val="0A0A0A"/>
          <w:sz w:val="21"/>
        </w:rPr>
        <w:t xml:space="preserve">), a resposta </w:t>
      </w:r>
      <w:r>
        <w:rPr>
          <w:rFonts w:ascii="Calibri" w:hAnsi="Calibri"/>
          <w:b/>
          <w:color w:val="0A0A0A"/>
          <w:sz w:val="21"/>
        </w:rPr>
        <w:t>inteira</w:t>
      </w:r>
      <w:r>
        <w:rPr>
          <w:rFonts w:ascii="Calibri" w:hAnsi="Calibri"/>
          <w:b w:val="0"/>
          <w:i w:val="0"/>
          <w:color w:val="0A0A0A"/>
          <w:sz w:val="21"/>
        </w:rPr>
        <w:t xml:space="preserve"> é suprimida com </w:t>
      </w:r>
      <w:r>
        <w:rPr>
          <w:rFonts w:ascii="Consolas" w:hAnsi="Consolas"/>
          <w:color w:val="1F1F1F"/>
          <w:sz w:val="19"/>
          <w:shd w:val="clear" w:color="auto" w:fill="F4F4F4"/>
        </w:rPr>
        <w:t>LGPDComplianceError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(HTTP 422). A medida impede a reidentificação de indivíduos em grupos pequenos (LGPD, Art. 12).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RN-31 — Atualização da view materializada restrita a admin.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POST /dashboard/refresh</w:t>
      </w:r>
      <w:r>
        <w:rPr>
          <w:rFonts w:ascii="Calibri" w:hAnsi="Calibri"/>
          <w:b w:val="0"/>
          <w:i w:val="0"/>
          <w:color w:val="0A0A0A"/>
          <w:sz w:val="21"/>
        </w:rPr>
        <w:t xml:space="preserve"> executa </w:t>
      </w:r>
      <w:r>
        <w:rPr>
          <w:rFonts w:ascii="Consolas" w:hAnsi="Consolas"/>
          <w:color w:val="1F1F1F"/>
          <w:sz w:val="19"/>
          <w:shd w:val="clear" w:color="auto" w:fill="F4F4F4"/>
        </w:rPr>
        <w:t>REFRESH MATERIALIZED VIEW CONCURRENTLY</w:t>
      </w:r>
      <w:r>
        <w:rPr>
          <w:rFonts w:ascii="Calibri" w:hAnsi="Calibri"/>
          <w:b w:val="0"/>
          <w:i w:val="0"/>
          <w:color w:val="0A0A0A"/>
          <w:sz w:val="21"/>
        </w:rPr>
        <w:t xml:space="preserve"> e é permitido apenas a usuários com papel </w:t>
      </w:r>
      <w:r>
        <w:rPr>
          <w:rFonts w:ascii="Consolas" w:hAnsi="Consolas"/>
          <w:color w:val="1F1F1F"/>
          <w:sz w:val="19"/>
          <w:shd w:val="clear" w:color="auto" w:fill="F4F4F4"/>
        </w:rPr>
        <w:t>admin</w:t>
      </w:r>
      <w:r>
        <w:rPr>
          <w:rFonts w:ascii="Calibri" w:hAnsi="Calibri"/>
          <w:b w:val="0"/>
          <w:i w:val="0"/>
          <w:color w:val="0A0A0A"/>
          <w:sz w:val="21"/>
        </w:rPr>
        <w:t xml:space="preserve"> (HTTP 403 caso contrário).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RN-32 — Relatórios não dependem de `recomenda_exame`.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GET /relatorios/avaliacoes</w:t>
      </w:r>
      <w:r>
        <w:rPr>
          <w:rFonts w:ascii="Calibri" w:hAnsi="Calibri"/>
          <w:b w:val="0"/>
          <w:i w:val="0"/>
          <w:color w:val="0A0A0A"/>
          <w:sz w:val="21"/>
        </w:rPr>
        <w:t xml:space="preserve"> devolve as avaliações finalizadas do médico com </w:t>
      </w:r>
      <w:r>
        <w:rPr>
          <w:rFonts w:ascii="Consolas" w:hAnsi="Consolas"/>
          <w:color w:val="1F1F1F"/>
          <w:sz w:val="19"/>
          <w:shd w:val="clear" w:color="auto" w:fill="F4F4F4"/>
        </w:rPr>
        <w:t>data_avaliacao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score_final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sexo</w:t>
      </w:r>
      <w:r>
        <w:rPr>
          <w:rFonts w:ascii="Calibri" w:hAnsi="Calibri"/>
          <w:b w:val="0"/>
          <w:i w:val="0"/>
          <w:color w:val="0A0A0A"/>
          <w:sz w:val="21"/>
        </w:rPr>
        <w:t xml:space="preserve">, deixando o front-end computar o indicador de encaminhamento para os gráficos. Essa é a exceção consciente à dependência da coluna </w:t>
      </w:r>
      <w:r>
        <w:rPr>
          <w:rFonts w:ascii="Consolas" w:hAnsi="Consolas"/>
          <w:color w:val="1F1F1F"/>
          <w:sz w:val="19"/>
          <w:shd w:val="clear" w:color="auto" w:fill="F4F4F4"/>
        </w:rPr>
        <w:t>recomenda_exame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(ADR-0005), preservando o comportamento de relatório legado.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6. Autenticação, sessão e segurança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RN-33 — Login por OAuth2 password.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POST /auth/login</w:t>
      </w:r>
      <w:r>
        <w:rPr>
          <w:rFonts w:ascii="Calibri" w:hAnsi="Calibri"/>
          <w:b w:val="0"/>
          <w:i w:val="0"/>
          <w:color w:val="0A0A0A"/>
          <w:sz w:val="21"/>
        </w:rPr>
        <w:t xml:space="preserve"> recebe </w:t>
      </w:r>
      <w:r>
        <w:rPr>
          <w:rFonts w:ascii="Consolas" w:hAnsi="Consolas"/>
          <w:color w:val="1F1F1F"/>
          <w:sz w:val="19"/>
          <w:shd w:val="clear" w:color="auto" w:fill="F4F4F4"/>
        </w:rPr>
        <w:t>username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password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</w:t>
      </w:r>
      <w:r>
        <w:rPr>
          <w:rFonts w:ascii="Consolas" w:hAnsi="Consolas"/>
          <w:color w:val="1F1F1F"/>
          <w:sz w:val="19"/>
          <w:shd w:val="clear" w:color="auto" w:fill="F4F4F4"/>
        </w:rPr>
        <w:t>application/x-www-form-urlencoded</w:t>
      </w:r>
      <w:r>
        <w:rPr>
          <w:rFonts w:ascii="Calibri" w:hAnsi="Calibri"/>
          <w:b w:val="0"/>
          <w:i w:val="0"/>
          <w:color w:val="0A0A0A"/>
          <w:sz w:val="21"/>
        </w:rPr>
        <w:t>. O e-mail é normalizado para minúsculas.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RN-34 — Verificação de senha pelo PostgreSQL.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senha é conferida pelo banco com </w:t>
      </w:r>
      <w:r>
        <w:rPr>
          <w:rFonts w:ascii="Consolas" w:hAnsi="Consolas"/>
          <w:color w:val="1F1F1F"/>
          <w:sz w:val="19"/>
          <w:shd w:val="clear" w:color="auto" w:fill="F4F4F4"/>
        </w:rPr>
        <w:t>senha = crypt(:senha, senha)</w:t>
      </w:r>
      <w:r>
        <w:rPr>
          <w:rFonts w:ascii="Calibri" w:hAnsi="Calibri"/>
          <w:b w:val="0"/>
          <w:i w:val="0"/>
          <w:color w:val="0A0A0A"/>
          <w:sz w:val="21"/>
        </w:rPr>
        <w:t xml:space="preserve"> (bcrypt nativo via </w:t>
      </w:r>
      <w:r>
        <w:rPr>
          <w:rFonts w:ascii="Consolas" w:hAnsi="Consolas"/>
          <w:color w:val="1F1F1F"/>
          <w:sz w:val="19"/>
          <w:shd w:val="clear" w:color="auto" w:fill="F4F4F4"/>
        </w:rPr>
        <w:t>pgcrypto</w:t>
      </w:r>
      <w:r>
        <w:rPr>
          <w:rFonts w:ascii="Calibri" w:hAnsi="Calibri"/>
          <w:b w:val="0"/>
          <w:i w:val="0"/>
          <w:color w:val="0A0A0A"/>
          <w:sz w:val="21"/>
        </w:rPr>
        <w:t xml:space="preserve">), exigindo ainda </w:t>
      </w:r>
      <w:r>
        <w:rPr>
          <w:rFonts w:ascii="Consolas" w:hAnsi="Consolas"/>
          <w:color w:val="1F1F1F"/>
          <w:sz w:val="19"/>
          <w:shd w:val="clear" w:color="auto" w:fill="F4F4F4"/>
        </w:rPr>
        <w:t>ativo = TRUE</w:t>
      </w:r>
      <w:r>
        <w:rPr>
          <w:rFonts w:ascii="Calibri" w:hAnsi="Calibri"/>
          <w:b w:val="0"/>
          <w:i w:val="0"/>
          <w:color w:val="0A0A0A"/>
          <w:sz w:val="21"/>
        </w:rPr>
        <w:t>. O Python nunca manipula o hash bcrypt. Credenciais inválidas resultam em HTTP 401 "Credenciais inválidas.".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RN-35 — Proteção contra força bruta.</w:t>
      </w:r>
      <w:r>
        <w:rPr>
          <w:rFonts w:ascii="Calibri" w:hAnsi="Calibri"/>
          <w:b w:val="0"/>
          <w:i w:val="0"/>
          <w:color w:val="0A0A0A"/>
          <w:sz w:val="21"/>
        </w:rPr>
        <w:t xml:space="preserve"> Antes de autenticar, o sistema conta as tentativas de login mal-sucedidas do IP de origem nos últimos 10 minutos; a partir de 5 falhas, responde HTTP 429 ("Muitas tentativas de login. Tente novamente em 10 minutos."). Toda tentativa, bem-sucedida ou não, é registrada em </w:t>
      </w:r>
      <w:r>
        <w:rPr>
          <w:rFonts w:ascii="Consolas" w:hAnsi="Consolas"/>
          <w:color w:val="1F1F1F"/>
          <w:sz w:val="19"/>
          <w:shd w:val="clear" w:color="auto" w:fill="F4F4F4"/>
        </w:rPr>
        <w:t>tb_log_tentativas_login</w:t>
      </w:r>
      <w:r>
        <w:rPr>
          <w:rFonts w:ascii="Calibri" w:hAnsi="Calibri"/>
          <w:b w:val="0"/>
          <w:i w:val="0"/>
          <w:color w:val="0A0A0A"/>
          <w:sz w:val="21"/>
        </w:rPr>
        <w:t xml:space="preserve"> (append-only), que é a base dessa contagem.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RN-36 — Sessão auditável costurada ao token.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um login bem-sucedido, abre-se uma sessão em </w:t>
      </w:r>
      <w:r>
        <w:rPr>
          <w:rFonts w:ascii="Consolas" w:hAnsi="Consolas"/>
          <w:color w:val="1F1F1F"/>
          <w:sz w:val="19"/>
          <w:shd w:val="clear" w:color="auto" w:fill="F4F4F4"/>
        </w:rPr>
        <w:t>tb_log_sessoes</w:t>
      </w:r>
      <w:r>
        <w:rPr>
          <w:rFonts w:ascii="Calibri" w:hAnsi="Calibri"/>
          <w:b w:val="0"/>
          <w:i w:val="0"/>
          <w:color w:val="0A0A0A"/>
          <w:sz w:val="21"/>
        </w:rPr>
        <w:t xml:space="preserve">, cujo </w:t>
      </w:r>
      <w:r>
        <w:rPr>
          <w:rFonts w:ascii="Consolas" w:hAnsi="Consolas"/>
          <w:color w:val="1F1F1F"/>
          <w:sz w:val="19"/>
          <w:shd w:val="clear" w:color="auto" w:fill="F4F4F4"/>
        </w:rPr>
        <w:t>id</w:t>
      </w:r>
      <w:r>
        <w:rPr>
          <w:rFonts w:ascii="Calibri" w:hAnsi="Calibri"/>
          <w:b w:val="0"/>
          <w:i w:val="0"/>
          <w:color w:val="0A0A0A"/>
          <w:sz w:val="21"/>
        </w:rPr>
        <w:t xml:space="preserve"> (BIGSERIAL) é o </w:t>
      </w:r>
      <w:r>
        <w:rPr>
          <w:rFonts w:ascii="Consolas" w:hAnsi="Consolas"/>
          <w:color w:val="1F1F1F"/>
          <w:sz w:val="19"/>
          <w:shd w:val="clear" w:color="auto" w:fill="F4F4F4"/>
        </w:rPr>
        <w:t>sessao_id</w:t>
      </w:r>
      <w:r>
        <w:rPr>
          <w:rFonts w:ascii="Calibri" w:hAnsi="Calibri"/>
          <w:b w:val="0"/>
          <w:i w:val="0"/>
          <w:color w:val="0A0A0A"/>
          <w:sz w:val="21"/>
        </w:rPr>
        <w:t xml:space="preserve">. Esse identificador é embutido no JWT (claim </w:t>
      </w:r>
      <w:r>
        <w:rPr>
          <w:rFonts w:ascii="Consolas" w:hAnsi="Consolas"/>
          <w:color w:val="1F1F1F"/>
          <w:sz w:val="19"/>
          <w:shd w:val="clear" w:color="auto" w:fill="F4F4F4"/>
        </w:rPr>
        <w:t>sid</w:t>
      </w:r>
      <w:r>
        <w:rPr>
          <w:rFonts w:ascii="Calibri" w:hAnsi="Calibri"/>
          <w:b w:val="0"/>
          <w:i w:val="0"/>
          <w:color w:val="0A0A0A"/>
          <w:sz w:val="21"/>
        </w:rPr>
        <w:t xml:space="preserve">), ligando o token a um registro de sessão rastreável. O token também carrega </w:t>
      </w:r>
      <w:r>
        <w:rPr>
          <w:rFonts w:ascii="Consolas" w:hAnsi="Consolas"/>
          <w:color w:val="1F1F1F"/>
          <w:sz w:val="19"/>
          <w:shd w:val="clear" w:color="auto" w:fill="F4F4F4"/>
        </w:rPr>
        <w:t>sub</w:t>
      </w:r>
      <w:r>
        <w:rPr>
          <w:rFonts w:ascii="Calibri" w:hAnsi="Calibri"/>
          <w:b w:val="0"/>
          <w:i w:val="0"/>
          <w:color w:val="0A0A0A"/>
          <w:sz w:val="21"/>
        </w:rPr>
        <w:t xml:space="preserve"> (usuario_id), </w:t>
      </w:r>
      <w:r>
        <w:rPr>
          <w:rFonts w:ascii="Consolas" w:hAnsi="Consolas"/>
          <w:color w:val="1F1F1F"/>
          <w:sz w:val="19"/>
          <w:shd w:val="clear" w:color="auto" w:fill="F4F4F4"/>
        </w:rPr>
        <w:t>role</w:t>
      </w:r>
      <w:r>
        <w:rPr>
          <w:rFonts w:ascii="Calibri" w:hAnsi="Calibri"/>
          <w:b w:val="0"/>
          <w:i w:val="0"/>
          <w:color w:val="0A0A0A"/>
          <w:sz w:val="21"/>
        </w:rPr>
        <w:t xml:space="preserve">, </w:t>
      </w:r>
      <w:r>
        <w:rPr>
          <w:rFonts w:ascii="Consolas" w:hAnsi="Consolas"/>
          <w:color w:val="1F1F1F"/>
          <w:sz w:val="19"/>
          <w:shd w:val="clear" w:color="auto" w:fill="F4F4F4"/>
        </w:rPr>
        <w:t>iat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exp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RN-37 — Validade do token (TTL) de 30 minutos.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JWT HS256 tem validade de 1800 segundos. A verificação confere a assinatura com </w:t>
      </w:r>
      <w:r>
        <w:rPr>
          <w:rFonts w:ascii="Consolas" w:hAnsi="Consolas"/>
          <w:color w:val="1F1F1F"/>
          <w:sz w:val="19"/>
          <w:shd w:val="clear" w:color="auto" w:fill="F4F4F4"/>
        </w:rPr>
        <w:t>hmac.compare_digest</w:t>
      </w:r>
      <w:r>
        <w:rPr>
          <w:rFonts w:ascii="Calibri" w:hAnsi="Calibri"/>
          <w:b w:val="0"/>
          <w:i w:val="0"/>
          <w:color w:val="0A0A0A"/>
          <w:sz w:val="21"/>
        </w:rPr>
        <w:t xml:space="preserve"> (resistente a ataque de temporização) e checa a expiração; qualquer falha resulta em HTTP 401.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RN-38 — Papéis e autorização.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papel no token reflete o tipo no banco: usuário </w:t>
      </w:r>
      <w:r>
        <w:rPr>
          <w:rFonts w:ascii="Consolas" w:hAnsi="Consolas"/>
          <w:color w:val="1F1F1F"/>
          <w:sz w:val="19"/>
          <w:shd w:val="clear" w:color="auto" w:fill="F4F4F4"/>
        </w:rPr>
        <w:t>admin</w:t>
      </w:r>
      <w:r>
        <w:rPr>
          <w:rFonts w:ascii="Calibri" w:hAnsi="Calibri"/>
          <w:b w:val="0"/>
          <w:i w:val="0"/>
          <w:color w:val="0A0A0A"/>
          <w:sz w:val="21"/>
        </w:rPr>
        <w:t xml:space="preserve"> recebe </w:t>
      </w:r>
      <w:r>
        <w:rPr>
          <w:rFonts w:ascii="Consolas" w:hAnsi="Consolas"/>
          <w:color w:val="1F1F1F"/>
          <w:sz w:val="19"/>
          <w:shd w:val="clear" w:color="auto" w:fill="F4F4F4"/>
        </w:rPr>
        <w:t>role = 'admin'</w:t>
      </w:r>
      <w:r>
        <w:rPr>
          <w:rFonts w:ascii="Calibri" w:hAnsi="Calibri"/>
          <w:b w:val="0"/>
          <w:i w:val="0"/>
          <w:color w:val="0A0A0A"/>
          <w:sz w:val="21"/>
        </w:rPr>
        <w:t xml:space="preserve">; demais recebem </w:t>
      </w:r>
      <w:r>
        <w:rPr>
          <w:rFonts w:ascii="Consolas" w:hAnsi="Consolas"/>
          <w:color w:val="1F1F1F"/>
          <w:sz w:val="19"/>
          <w:shd w:val="clear" w:color="auto" w:fill="F4F4F4"/>
        </w:rPr>
        <w:t>role = 'doctor'</w:t>
      </w:r>
      <w:r>
        <w:rPr>
          <w:rFonts w:ascii="Calibri" w:hAnsi="Calibri"/>
          <w:b w:val="0"/>
          <w:i w:val="0"/>
          <w:color w:val="0A0A0A"/>
          <w:sz w:val="21"/>
        </w:rPr>
        <w:t xml:space="preserve">. O guarda </w:t>
      </w:r>
      <w:r>
        <w:rPr>
          <w:rFonts w:ascii="Consolas" w:hAnsi="Consolas"/>
          <w:color w:val="1F1F1F"/>
          <w:sz w:val="19"/>
          <w:shd w:val="clear" w:color="auto" w:fill="F4F4F4"/>
        </w:rPr>
        <w:t>get_current_doctor</w:t>
      </w:r>
      <w:r>
        <w:rPr>
          <w:rFonts w:ascii="Calibri" w:hAnsi="Calibri"/>
          <w:b w:val="0"/>
          <w:i w:val="0"/>
          <w:color w:val="0A0A0A"/>
          <w:sz w:val="21"/>
        </w:rPr>
        <w:t xml:space="preserve"> aceita ambos os papéis; o guarda </w:t>
      </w:r>
      <w:r>
        <w:rPr>
          <w:rFonts w:ascii="Consolas" w:hAnsi="Consolas"/>
          <w:color w:val="1F1F1F"/>
          <w:sz w:val="19"/>
          <w:shd w:val="clear" w:color="auto" w:fill="F4F4F4"/>
        </w:rPr>
        <w:t>get_current_admin</w:t>
      </w:r>
      <w:r>
        <w:rPr>
          <w:rFonts w:ascii="Calibri" w:hAnsi="Calibri"/>
          <w:b w:val="0"/>
          <w:i w:val="0"/>
          <w:color w:val="0A0A0A"/>
          <w:sz w:val="21"/>
        </w:rPr>
        <w:t xml:space="preserve"> exige </w:t>
      </w:r>
      <w:r>
        <w:rPr>
          <w:rFonts w:ascii="Consolas" w:hAnsi="Consolas"/>
          <w:color w:val="1F1F1F"/>
          <w:sz w:val="19"/>
          <w:shd w:val="clear" w:color="auto" w:fill="F4F4F4"/>
        </w:rPr>
        <w:t>admin</w:t>
      </w:r>
      <w:r>
        <w:rPr>
          <w:rFonts w:ascii="Calibri" w:hAnsi="Calibri"/>
          <w:b w:val="0"/>
          <w:i w:val="0"/>
          <w:color w:val="0A0A0A"/>
          <w:sz w:val="21"/>
        </w:rPr>
        <w:t xml:space="preserve"> (HTTP 403 caso contrário). A ocultação do menu de administração no front-end é apenas conveniência de interface — a verdadeira barreira de acesso está no back-end.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RN-39 — Logout.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POST /auth/logout?sessao_id=</w:t>
      </w:r>
      <w:r>
        <w:rPr>
          <w:rFonts w:ascii="Calibri" w:hAnsi="Calibri"/>
          <w:b w:val="0"/>
          <w:i w:val="0"/>
          <w:color w:val="0A0A0A"/>
          <w:sz w:val="21"/>
        </w:rPr>
        <w:t xml:space="preserve"> encerra a sessão correspondente, gravando </w:t>
      </w:r>
      <w:r>
        <w:rPr>
          <w:rFonts w:ascii="Consolas" w:hAnsi="Consolas"/>
          <w:color w:val="1F1F1F"/>
          <w:sz w:val="19"/>
          <w:shd w:val="clear" w:color="auto" w:fill="F4F4F4"/>
        </w:rPr>
        <w:t>encerrada_em = NOW()</w:t>
      </w:r>
      <w:r>
        <w:rPr>
          <w:rFonts w:ascii="Calibri" w:hAnsi="Calibri"/>
          <w:b w:val="0"/>
          <w:i w:val="0"/>
          <w:color w:val="0A0A0A"/>
          <w:sz w:val="21"/>
        </w:rPr>
        <w:t xml:space="preserve"> e </w:t>
      </w:r>
      <w:r>
        <w:rPr>
          <w:rFonts w:ascii="Consolas" w:hAnsi="Consolas"/>
          <w:color w:val="1F1F1F"/>
          <w:sz w:val="19"/>
          <w:shd w:val="clear" w:color="auto" w:fill="F4F4F4"/>
        </w:rPr>
        <w:t>tipo_encerramento = 'logout'</w:t>
      </w:r>
      <w:r>
        <w:rPr>
          <w:rFonts w:ascii="Calibri" w:hAnsi="Calibri"/>
          <w:b w:val="0"/>
          <w:i w:val="0"/>
          <w:color w:val="0A0A0A"/>
          <w:sz w:val="21"/>
        </w:rPr>
        <w:t xml:space="preserve"> em </w:t>
      </w:r>
      <w:r>
        <w:rPr>
          <w:rFonts w:ascii="Consolas" w:hAnsi="Consolas"/>
          <w:color w:val="1F1F1F"/>
          <w:sz w:val="19"/>
          <w:shd w:val="clear" w:color="auto" w:fill="F4F4F4"/>
        </w:rPr>
        <w:t>tb_log_sessoes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7. Gestão de usuários (administração)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 xml:space="preserve">Endpoints sob </w:t>
      </w:r>
      <w:r>
        <w:rPr>
          <w:rFonts w:ascii="Consolas" w:hAnsi="Consolas"/>
          <w:color w:val="1F1F1F"/>
          <w:sz w:val="19"/>
          <w:shd w:val="clear" w:color="auto" w:fill="F4F4F4"/>
        </w:rPr>
        <w:t>/usuarios</w:t>
      </w:r>
      <w:r>
        <w:rPr>
          <w:rFonts w:ascii="Calibri" w:hAnsi="Calibri"/>
          <w:b w:val="0"/>
          <w:i w:val="0"/>
          <w:color w:val="0A0A0A"/>
          <w:sz w:val="21"/>
        </w:rPr>
        <w:t>, todos restritos a administradores (</w:t>
      </w:r>
      <w:r>
        <w:rPr>
          <w:rFonts w:ascii="Consolas" w:hAnsi="Consolas"/>
          <w:color w:val="1F1F1F"/>
          <w:sz w:val="19"/>
          <w:shd w:val="clear" w:color="auto" w:fill="F4F4F4"/>
        </w:rPr>
        <w:t>get_current_admin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RN-40 — Criação de médico.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POST /usuarios</w:t>
      </w:r>
      <w:r>
        <w:rPr>
          <w:rFonts w:ascii="Calibri" w:hAnsi="Calibri"/>
          <w:b w:val="0"/>
          <w:i w:val="0"/>
          <w:color w:val="0A0A0A"/>
          <w:sz w:val="21"/>
        </w:rPr>
        <w:t xml:space="preserve"> cria um usuário do tipo </w:t>
      </w:r>
      <w:r>
        <w:rPr>
          <w:rFonts w:ascii="Consolas" w:hAnsi="Consolas"/>
          <w:color w:val="1F1F1F"/>
          <w:sz w:val="19"/>
          <w:shd w:val="clear" w:color="auto" w:fill="F4F4F4"/>
        </w:rPr>
        <w:t>medico</w:t>
      </w:r>
      <w:r>
        <w:rPr>
          <w:rFonts w:ascii="Calibri" w:hAnsi="Calibri"/>
          <w:b w:val="0"/>
          <w:i w:val="0"/>
          <w:color w:val="0A0A0A"/>
          <w:sz w:val="21"/>
        </w:rPr>
        <w:t>. Validações do caso de uso: nome obrigatório; e-mail obrigatório (normalizado para minúsculas); senha com no mínimo 8 caracteres (</w:t>
      </w:r>
      <w:r>
        <w:rPr>
          <w:rFonts w:ascii="Consolas" w:hAnsi="Consolas"/>
          <w:color w:val="1F1F1F"/>
          <w:sz w:val="19"/>
          <w:shd w:val="clear" w:color="auto" w:fill="F4F4F4"/>
        </w:rPr>
        <w:t>DomainError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caso contrário); e-mail único (</w:t>
      </w:r>
      <w:r>
        <w:rPr>
          <w:rFonts w:ascii="Consolas" w:hAnsi="Consolas"/>
          <w:color w:val="1F1F1F"/>
          <w:sz w:val="19"/>
          <w:shd w:val="clear" w:color="auto" w:fill="F4F4F4"/>
        </w:rPr>
        <w:t>ConflictError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"Já existe um usuário com este e-mail." se já houver). A senha é cifrada com bcrypt na própria inserção (</w:t>
      </w:r>
      <w:r>
        <w:rPr>
          <w:rFonts w:ascii="Consolas" w:hAnsi="Consolas"/>
          <w:color w:val="1F1F1F"/>
          <w:sz w:val="19"/>
          <w:shd w:val="clear" w:color="auto" w:fill="F4F4F4"/>
        </w:rPr>
        <w:t>crypt(:senha, gen_salt('bf'))</w:t>
      </w:r>
      <w:r>
        <w:rPr>
          <w:rFonts w:ascii="Calibri" w:hAnsi="Calibri"/>
          <w:b w:val="0"/>
          <w:i w:val="0"/>
          <w:color w:val="0A0A0A"/>
          <w:sz w:val="21"/>
        </w:rPr>
        <w:t>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RN-41 — Ativar/desativar usuário, sem auto-desativação.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PATCH /usuarios/{id}</w:t>
      </w:r>
      <w:r>
        <w:rPr>
          <w:rFonts w:ascii="Calibri" w:hAnsi="Calibri"/>
          <w:b w:val="0"/>
          <w:i w:val="0"/>
          <w:color w:val="0A0A0A"/>
          <w:sz w:val="21"/>
        </w:rPr>
        <w:t xml:space="preserve"> habilita ou desabilita um usuário (exclusão lógica). Um administrador </w:t>
      </w:r>
      <w:r>
        <w:rPr>
          <w:rFonts w:ascii="Calibri" w:hAnsi="Calibri"/>
          <w:b/>
          <w:color w:val="0A0A0A"/>
          <w:sz w:val="21"/>
        </w:rPr>
        <w:t>não pode desativar a própria conta</w:t>
      </w:r>
      <w:r>
        <w:rPr>
          <w:rFonts w:ascii="Calibri" w:hAnsi="Calibri"/>
          <w:b w:val="0"/>
          <w:i w:val="0"/>
          <w:color w:val="0A0A0A"/>
          <w:sz w:val="21"/>
        </w:rPr>
        <w:t xml:space="preserve"> (</w:t>
      </w:r>
      <w:r>
        <w:rPr>
          <w:rFonts w:ascii="Consolas" w:hAnsi="Consolas"/>
          <w:color w:val="1F1F1F"/>
          <w:sz w:val="19"/>
          <w:shd w:val="clear" w:color="auto" w:fill="F4F4F4"/>
        </w:rPr>
        <w:t>DomainError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"Você não pode desativar a própria conta.").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RN-42 — Exclusão de usuário com salvaguardas.</w:t>
      </w:r>
      <w:r>
        <w:rPr>
          <w:rFonts w:ascii="Calibri" w:hAnsi="Calibri"/>
          <w:b w:val="0"/>
          <w:i w:val="0"/>
          <w:color w:val="0A0A0A"/>
          <w:sz w:val="21"/>
        </w:rPr>
        <w:t xml:space="preserve"> </w:t>
      </w:r>
      <w:r>
        <w:rPr>
          <w:rFonts w:ascii="Consolas" w:hAnsi="Consolas"/>
          <w:color w:val="1F1F1F"/>
          <w:sz w:val="19"/>
          <w:shd w:val="clear" w:color="auto" w:fill="F4F4F4"/>
        </w:rPr>
        <w:t>DELETE /usuarios/{id}</w:t>
      </w:r>
      <w:r>
        <w:rPr>
          <w:rFonts w:ascii="Calibri" w:hAnsi="Calibri"/>
          <w:b w:val="0"/>
          <w:i w:val="0"/>
          <w:color w:val="0A0A0A"/>
          <w:sz w:val="21"/>
        </w:rPr>
        <w:t xml:space="preserve"> remove um usuário, confirmado com a senha do administrador requisitante. Regras: um administrador não pode excluir a própria conta (</w:t>
      </w:r>
      <w:r>
        <w:rPr>
          <w:rFonts w:ascii="Consolas" w:hAnsi="Consolas"/>
          <w:color w:val="1F1F1F"/>
          <w:sz w:val="19"/>
          <w:shd w:val="clear" w:color="auto" w:fill="F4F4F4"/>
        </w:rPr>
        <w:t>DomainError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); senha incorreta resulta em HTTP 422 (não 401, pelo mesmo motivo da RN-14); e, se o usuário possuir registros clínicos ou de auditoria vinculados (violação de chave estrangeira), a exclusão é bloqueada com </w:t>
      </w:r>
      <w:r>
        <w:rPr>
          <w:rFonts w:ascii="Consolas" w:hAnsi="Consolas"/>
          <w:color w:val="1F1F1F"/>
          <w:sz w:val="19"/>
          <w:shd w:val="clear" w:color="auto" w:fill="F4F4F4"/>
        </w:rPr>
        <w:t>ConflictError</w:t>
      </w:r>
      <w:r>
        <w:rPr>
          <w:rFonts w:ascii="Calibri" w:hAnsi="Calibri"/>
          <w:b w:val="0"/>
          <w:i w:val="0"/>
          <w:color w:val="0A0A0A"/>
          <w:sz w:val="21"/>
        </w:rPr>
        <w:t xml:space="preserve"> (HTTP 409), recomendando a desativação em vez da exclusão para preservar a trilha clínica e de auditoria.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8. Proteção de dados pessoais (LGPD)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RN-43 — Cifragem em repouso.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Os nomes de paciente e acompanhante são cifrados no banco com </w:t>
      </w:r>
      <w:r>
        <w:rPr>
          <w:rFonts w:ascii="Consolas" w:hAnsi="Consolas"/>
          <w:color w:val="1F1F1F"/>
          <w:sz w:val="19"/>
          <w:shd w:val="clear" w:color="auto" w:fill="F4F4F4"/>
        </w:rPr>
        <w:t>pgp_sym_encrypt</w:t>
      </w:r>
      <w:r>
        <w:rPr>
          <w:rFonts w:ascii="Calibri" w:hAnsi="Calibri"/>
          <w:b w:val="0"/>
          <w:i w:val="0"/>
          <w:color w:val="0A0A0A"/>
          <w:sz w:val="21"/>
        </w:rPr>
        <w:t xml:space="preserve"> (AES-256, via </w:t>
      </w:r>
      <w:r>
        <w:rPr>
          <w:rFonts w:ascii="Consolas" w:hAnsi="Consolas"/>
          <w:color w:val="1F1F1F"/>
          <w:sz w:val="19"/>
          <w:shd w:val="clear" w:color="auto" w:fill="F4F4F4"/>
        </w:rPr>
        <w:t>pgcrypto</w:t>
      </w:r>
      <w:r>
        <w:rPr>
          <w:rFonts w:ascii="Calibri" w:hAnsi="Calibri"/>
          <w:b w:val="0"/>
          <w:i w:val="0"/>
          <w:color w:val="0A0A0A"/>
          <w:sz w:val="21"/>
        </w:rPr>
        <w:t xml:space="preserve">) e guardados como BYTEA. As views decifram em tempo de execução com </w:t>
      </w:r>
      <w:r>
        <w:rPr>
          <w:rFonts w:ascii="Consolas" w:hAnsi="Consolas"/>
          <w:color w:val="1F1F1F"/>
          <w:sz w:val="19"/>
          <w:shd w:val="clear" w:color="auto" w:fill="F4F4F4"/>
        </w:rPr>
        <w:t>pgp_sym_decrypt</w:t>
      </w:r>
      <w:r>
        <w:rPr>
          <w:rFonts w:ascii="Calibri" w:hAnsi="Calibri"/>
          <w:b w:val="0"/>
          <w:i w:val="0"/>
          <w:color w:val="0A0A0A"/>
          <w:sz w:val="21"/>
        </w:rPr>
        <w:t>. O CPF nunca é guardado, apenas seu hash SHA-256 (RN-04).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RN-44 — Chave de cifragem injetada por sessão.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chave PGP nunca é armazenada no banco. É injetada por conexão, no início da sessão, por </w:t>
      </w:r>
      <w:r>
        <w:rPr>
          <w:rFonts w:ascii="Consolas" w:hAnsi="Consolas"/>
          <w:color w:val="1F1F1F"/>
          <w:sz w:val="19"/>
          <w:shd w:val="clear" w:color="auto" w:fill="F4F4F4"/>
        </w:rPr>
        <w:t>SELECT set_config('app.pgp_key', :key, true)</w:t>
      </w:r>
      <w:r>
        <w:rPr>
          <w:rFonts w:ascii="Calibri" w:hAnsi="Calibri"/>
          <w:b w:val="0"/>
          <w:i w:val="0"/>
          <w:color w:val="0A0A0A"/>
          <w:sz w:val="21"/>
        </w:rPr>
        <w:t xml:space="preserve">; as views a leem com </w:t>
      </w:r>
      <w:r>
        <w:rPr>
          <w:rFonts w:ascii="Consolas" w:hAnsi="Consolas"/>
          <w:color w:val="1F1F1F"/>
          <w:sz w:val="19"/>
          <w:shd w:val="clear" w:color="auto" w:fill="F4F4F4"/>
        </w:rPr>
        <w:t>current_setting('app.pgp_key')</w:t>
      </w:r>
      <w:r>
        <w:rPr>
          <w:rFonts w:ascii="Calibri" w:hAnsi="Calibri"/>
          <w:b w:val="0"/>
          <w:i w:val="0"/>
          <w:color w:val="0A0A0A"/>
          <w:sz w:val="21"/>
        </w:rPr>
        <w:t xml:space="preserve"> para decifrar. A chave existe apenas em memória durante a conexão — mesmo com acesso ao armazenamento físico, os nomes permanecem ilegíveis sem ela.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RN-45 — Mascaramento de CPF na borda.</w:t>
      </w:r>
      <w:r>
        <w:rPr>
          <w:rFonts w:ascii="Calibri" w:hAnsi="Calibri"/>
          <w:b w:val="0"/>
          <w:i w:val="0"/>
          <w:color w:val="0A0A0A"/>
          <w:sz w:val="21"/>
        </w:rPr>
        <w:t xml:space="preserve"> A API nunca devolve o CPF em claro (de fato, só possui o hash). Onde o CPF apareceria, retorna-se o marcador fixo </w:t>
      </w:r>
      <w:r>
        <w:rPr>
          <w:rFonts w:ascii="Consolas" w:hAnsi="Consolas"/>
          <w:color w:val="1F1F1F"/>
          <w:sz w:val="19"/>
          <w:shd w:val="clear" w:color="auto" w:fill="F4F4F4"/>
        </w:rPr>
        <w:t>CPF_MASK = "***.***.***-**"</w:t>
      </w:r>
      <w:r>
        <w:rPr>
          <w:rFonts w:ascii="Calibri" w:hAnsi="Calibri"/>
          <w:b w:val="0"/>
          <w:i w:val="0"/>
          <w:color w:val="0A0A0A"/>
          <w:sz w:val="21"/>
        </w:rPr>
        <w:t>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RN-46 — Exposição do nome ao médico dono.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detalhe e a lista de pacientes retornam o nome decifrado ao médico que cadastrou o paciente, viabilizando a operação clínica (busca, prontuário, laudo). O utilitário </w:t>
      </w:r>
      <w:r>
        <w:rPr>
          <w:rFonts w:ascii="Consolas" w:hAnsi="Consolas"/>
          <w:color w:val="1F1F1F"/>
          <w:sz w:val="19"/>
          <w:shd w:val="clear" w:color="auto" w:fill="F4F4F4"/>
        </w:rPr>
        <w:t>mask_name</w:t>
      </w:r>
      <w:r>
        <w:rPr>
          <w:rFonts w:ascii="Calibri" w:hAnsi="Calibri"/>
          <w:b w:val="0"/>
          <w:i w:val="0"/>
          <w:color w:val="0A0A0A"/>
          <w:sz w:val="21"/>
        </w:rPr>
        <w:t xml:space="preserve"> (que exibe o primeiro nome e mascara os sobrenomes) está disponível na camada de apresentação como mecanismo de mascaramento de nome; no estado atual do código, o mascaramento efetivamente aplicado nas respostas é o do CPF, enquanto o nome do paciente é entregue em claro ao médico dono. Esta nota reflete o comportamento real do código.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RN-47 — Trilhas de auditoria imutáveis.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sistema mantém registros append-only que apoiam a prestação de contas exigida pela LGPD: </w:t>
      </w:r>
      <w:r>
        <w:rPr>
          <w:rFonts w:ascii="Consolas" w:hAnsi="Consolas"/>
          <w:color w:val="1F1F1F"/>
          <w:sz w:val="19"/>
          <w:shd w:val="clear" w:color="auto" w:fill="F4F4F4"/>
        </w:rPr>
        <w:t>tb_log_sessoes</w:t>
      </w:r>
      <w:r>
        <w:rPr>
          <w:rFonts w:ascii="Calibri" w:hAnsi="Calibri"/>
          <w:b w:val="0"/>
          <w:i w:val="0"/>
          <w:color w:val="0A0A0A"/>
          <w:sz w:val="21"/>
        </w:rPr>
        <w:t xml:space="preserve"> (ciclo de vida das sessões), </w:t>
      </w:r>
      <w:r>
        <w:rPr>
          <w:rFonts w:ascii="Consolas" w:hAnsi="Consolas"/>
          <w:color w:val="1F1F1F"/>
          <w:sz w:val="19"/>
          <w:shd w:val="clear" w:color="auto" w:fill="F4F4F4"/>
        </w:rPr>
        <w:t>tb_log_tentativas_login</w:t>
      </w:r>
      <w:r>
        <w:rPr>
          <w:rFonts w:ascii="Calibri" w:hAnsi="Calibri"/>
          <w:b w:val="0"/>
          <w:i w:val="0"/>
          <w:color w:val="0A0A0A"/>
          <w:sz w:val="21"/>
        </w:rPr>
        <w:t xml:space="preserve"> (tentativas de login), </w:t>
      </w:r>
      <w:r>
        <w:rPr>
          <w:rFonts w:ascii="Consolas" w:hAnsi="Consolas"/>
          <w:color w:val="1F1F1F"/>
          <w:sz w:val="19"/>
          <w:shd w:val="clear" w:color="auto" w:fill="F4F4F4"/>
        </w:rPr>
        <w:t>tb_log_analises</w:t>
      </w:r>
      <w:r>
        <w:rPr>
          <w:rFonts w:ascii="Calibri" w:hAnsi="Calibri"/>
          <w:b w:val="0"/>
          <w:i w:val="0"/>
          <w:color w:val="0A0A0A"/>
          <w:sz w:val="21"/>
        </w:rPr>
        <w:t xml:space="preserve"> (execuções de escore, com escore em claro para auditoria do modelo) e </w:t>
      </w:r>
      <w:r>
        <w:rPr>
          <w:rFonts w:ascii="Consolas" w:hAnsi="Consolas"/>
          <w:color w:val="1F1F1F"/>
          <w:sz w:val="19"/>
          <w:shd w:val="clear" w:color="auto" w:fill="F4F4F4"/>
        </w:rPr>
        <w:t>tb_auditoria</w:t>
      </w:r>
      <w:r>
        <w:rPr>
          <w:rFonts w:ascii="Calibri" w:hAnsi="Calibri"/>
          <w:b w:val="0"/>
          <w:i w:val="0"/>
          <w:color w:val="0A0A0A"/>
          <w:sz w:val="21"/>
        </w:rPr>
        <w:t xml:space="preserve"> (trilha geral de mutações, com estado anterior e novo em JSONB).</w:t>
      </w:r>
    </w:p>
    <w:p>
      <w:pPr>
        <w:spacing w:after="140"/>
        <w:jc w:val="both"/>
        <w:widowControl w:val="true"/>
      </w:pPr>
      <w:r>
        <w:rPr>
          <w:rFonts w:ascii="Calibri" w:hAnsi="Calibri"/>
          <w:b/>
          <w:color w:val="0A0A0A"/>
          <w:sz w:val="21"/>
        </w:rPr>
        <w:t>RN-48 — Controle de acesso no banco (RBAC).</w:t>
      </w:r>
      <w:r>
        <w:rPr>
          <w:rFonts w:ascii="Calibri" w:hAnsi="Calibri"/>
          <w:b w:val="0"/>
          <w:i w:val="0"/>
          <w:color w:val="0A0A0A"/>
          <w:sz w:val="21"/>
        </w:rPr>
        <w:t xml:space="preserve"> O acesso ao banco é segmentado em três papéis: </w:t>
      </w:r>
      <w:r>
        <w:rPr>
          <w:rFonts w:ascii="Consolas" w:hAnsi="Consolas"/>
          <w:color w:val="1F1F1F"/>
          <w:sz w:val="19"/>
          <w:shd w:val="clear" w:color="auto" w:fill="F4F4F4"/>
        </w:rPr>
        <w:t>nivel_1</w:t>
      </w:r>
      <w:r>
        <w:rPr>
          <w:rFonts w:ascii="Calibri" w:hAnsi="Calibri"/>
          <w:b w:val="0"/>
          <w:i w:val="0"/>
          <w:color w:val="0A0A0A"/>
          <w:sz w:val="21"/>
        </w:rPr>
        <w:t xml:space="preserve"> (aplicação) opera apenas pelas views e executa as funções; </w:t>
      </w:r>
      <w:r>
        <w:rPr>
          <w:rFonts w:ascii="Consolas" w:hAnsi="Consolas"/>
          <w:color w:val="1F1F1F"/>
          <w:sz w:val="19"/>
          <w:shd w:val="clear" w:color="auto" w:fill="F4F4F4"/>
        </w:rPr>
        <w:t>nivel_2</w:t>
      </w:r>
      <w:r>
        <w:rPr>
          <w:rFonts w:ascii="Calibri" w:hAnsi="Calibri"/>
          <w:b w:val="0"/>
          <w:i w:val="0"/>
          <w:color w:val="0A0A0A"/>
          <w:sz w:val="21"/>
        </w:rPr>
        <w:t xml:space="preserve"> (auditoria) tem leitura ampla; </w:t>
      </w:r>
      <w:r>
        <w:rPr>
          <w:rFonts w:ascii="Consolas" w:hAnsi="Consolas"/>
          <w:color w:val="1F1F1F"/>
          <w:sz w:val="19"/>
          <w:shd w:val="clear" w:color="auto" w:fill="F4F4F4"/>
        </w:rPr>
        <w:t>nivel_3</w:t>
      </w:r>
      <w:r>
        <w:rPr>
          <w:rFonts w:ascii="Calibri" w:hAnsi="Calibri"/>
          <w:b w:val="0"/>
          <w:i w:val="0"/>
          <w:color w:val="0A0A0A"/>
          <w:sz w:val="21"/>
        </w:rPr>
        <w:t xml:space="preserve"> (BI) lê as views clínicas e a view anonimizada. O Row Level Security está habilitado, e as políticas seguem essa segmentação. É por meio da restrição do </w:t>
      </w:r>
      <w:r>
        <w:rPr>
          <w:rFonts w:ascii="Consolas" w:hAnsi="Consolas"/>
          <w:color w:val="1F1F1F"/>
          <w:sz w:val="19"/>
          <w:shd w:val="clear" w:color="auto" w:fill="F4F4F4"/>
        </w:rPr>
        <w:t>nivel_1</w:t>
      </w:r>
      <w:r>
        <w:rPr>
          <w:rFonts w:ascii="Calibri" w:hAnsi="Calibri"/>
          <w:b w:val="0"/>
          <w:i w:val="0"/>
          <w:color w:val="0A0A0A"/>
          <w:sz w:val="21"/>
        </w:rPr>
        <w:t xml:space="preserve"> às views que se efetiva a regra "o back-end não toca nas tabelas físicas".</w:t>
      </w: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9. Quadro-resumo das regras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type="dxa" w:w="9360"/>
        <w:tblCellMar>
          <w:top w:w="40" w:type="dxa"/>
          <w:bottom w:w="40" w:type="dxa"/>
          <w:left w:w="90" w:type="dxa"/>
          <w:right w:w="90" w:type="dxa"/>
        </w:tblCellMar>
      </w:tblPr>
      <w:tblGrid>
        <w:gridCol w:w="886"/>
        <w:gridCol w:w="3152"/>
        <w:gridCol w:w="5320"/>
      </w:tblGrid>
      <w:tr>
        <w:trPr>
          <w:tblHeader/>
          <w:cantSplit/>
        </w:trPr>
        <w:tc>
          <w:tcPr>
            <w:tcW w:type="dxa" w:w="886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Código</w:t>
            </w:r>
          </w:p>
        </w:tc>
        <w:tc>
          <w:tcPr>
            <w:tcW w:type="dxa" w:w="3152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Regra</w:t>
            </w:r>
          </w:p>
        </w:tc>
        <w:tc>
          <w:tcPr>
            <w:tcW w:type="dxa" w:w="5320"/>
            <w:shd w:val="clear" w:color="auto" w:fill="1F1F1F"/>
          </w:tcPr>
          <w:p>
            <w:pPr>
              <w:spacing w:after="20" w:before="2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Aplicação concreta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RN-01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Pré-diagnóstico, não diagnóstico</w:t>
            </w:r>
          </w:p>
        </w:tc>
        <w:tc>
          <w:tcPr>
            <w:tcW w:type="dxa" w:w="53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Desfecho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recomenda_exame</w:t>
            </w:r>
          </w:p>
        </w:tc>
      </w:tr>
      <w:tr>
        <w:trPr>
          <w:cantSplit/>
        </w:trPr>
        <w:tc>
          <w:tcPr>
            <w:tcW w:type="dxa" w:w="8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RN-03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Validação de formato do paciente</w:t>
            </w:r>
          </w:p>
        </w:tc>
        <w:tc>
          <w:tcPr>
            <w:tcW w:type="dxa" w:w="53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Schema Pydantic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extra="forbid"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; sexo restrito a M, F ou I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RN-04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CPF só como hash</w:t>
            </w:r>
          </w:p>
        </w:tc>
        <w:tc>
          <w:tcPr>
            <w:tcW w:type="dxa" w:w="532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CPF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valida 11 dígitos; persiste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cpf_hash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SHA-256</w:t>
            </w:r>
          </w:p>
        </w:tc>
      </w:tr>
      <w:tr>
        <w:trPr>
          <w:cantSplit/>
        </w:trPr>
        <w:tc>
          <w:tcPr>
            <w:tcW w:type="dxa" w:w="8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RN-06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Acompanhante deduplicado por CPF</w:t>
            </w:r>
          </w:p>
        </w:tc>
        <w:tc>
          <w:tcPr>
            <w:tcW w:type="dxa" w:w="53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Reuso por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cpf_hash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RN-09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RBAC por médico dono</w:t>
            </w:r>
          </w:p>
        </w:tc>
        <w:tc>
          <w:tcPr>
            <w:tcW w:type="dxa" w:w="532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WHERE criado_por = :usuario_id</w:t>
            </w:r>
          </w:p>
        </w:tc>
      </w:tr>
      <w:tr>
        <w:trPr>
          <w:cantSplit/>
        </w:trPr>
        <w:tc>
          <w:tcPr>
            <w:tcW w:type="dxa" w:w="8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RN-14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Exclusão confirma com senha; 422 se errada</w:t>
            </w:r>
          </w:p>
        </w:tc>
        <w:tc>
          <w:tcPr>
            <w:tcW w:type="dxa" w:w="532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DomainError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"Senha incorreta."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RN-17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Checklist não vazio</w:t>
            </w:r>
          </w:p>
        </w:tc>
        <w:tc>
          <w:tcPr>
            <w:tcW w:type="dxa" w:w="532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respostas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min_length=1</w:t>
            </w:r>
          </w:p>
        </w:tc>
      </w:tr>
      <w:tr>
        <w:trPr>
          <w:cantSplit/>
        </w:trPr>
        <w:tc>
          <w:tcPr>
            <w:tcW w:type="dxa" w:w="8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RN-18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Escore no banco</w:t>
            </w:r>
          </w:p>
        </w:tc>
        <w:tc>
          <w:tcPr>
            <w:tcW w:type="dxa" w:w="532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fn_calcular_score_triagem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RN-20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Limiares por sexo</w:t>
            </w:r>
          </w:p>
        </w:tc>
        <w:tc>
          <w:tcPr>
            <w:tcW w:type="dxa" w:w="53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M 0.56 / F 0.55 (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parametro_triagem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)</w:t>
            </w:r>
          </w:p>
        </w:tc>
      </w:tr>
      <w:tr>
        <w:trPr>
          <w:cantSplit/>
        </w:trPr>
        <w:tc>
          <w:tcPr>
            <w:tcW w:type="dxa" w:w="8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RN-22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Diagnóstico prévio suprime recomendação</w:t>
            </w:r>
          </w:p>
        </w:tc>
        <w:tc>
          <w:tcPr>
            <w:tcW w:type="dxa" w:w="53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view: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CASE WHEN diagnostico_previo_fxs THEN false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RN-23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Encaminhamento automático</w:t>
            </w:r>
          </w:p>
        </w:tc>
        <w:tc>
          <w:tcPr>
            <w:tcW w:type="dxa" w:w="5320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tipo='exame_fmr1'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, </w:t>
            </w: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gerado_automaticamente=TRUE</w:t>
            </w:r>
          </w:p>
        </w:tc>
      </w:tr>
      <w:tr>
        <w:trPr>
          <w:cantSplit/>
        </w:trPr>
        <w:tc>
          <w:tcPr>
            <w:tcW w:type="dxa" w:w="8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RN-30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k-anonimato nas estatísticas</w:t>
            </w:r>
          </w:p>
        </w:tc>
        <w:tc>
          <w:tcPr>
            <w:tcW w:type="dxa" w:w="532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K_ANONYMITY_THRESHOLD = 5</w:t>
            </w: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 xml:space="preserve"> → HTTP 422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RN-35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Anti-força bruta</w:t>
            </w:r>
          </w:p>
        </w:tc>
        <w:tc>
          <w:tcPr>
            <w:tcW w:type="dxa" w:w="53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5 falhas / 10 min por IP → HTTP 429</w:t>
            </w:r>
          </w:p>
        </w:tc>
      </w:tr>
      <w:tr>
        <w:trPr>
          <w:cantSplit/>
        </w:trPr>
        <w:tc>
          <w:tcPr>
            <w:tcW w:type="dxa" w:w="8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RN-37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TTL do token</w:t>
            </w:r>
          </w:p>
        </w:tc>
        <w:tc>
          <w:tcPr>
            <w:tcW w:type="dxa" w:w="5320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1800 s (30 min)</w:t>
            </w:r>
          </w:p>
        </w:tc>
      </w:tr>
      <w:tr>
        <w:trPr>
          <w:cantSplit/>
        </w:trPr>
        <w:tc>
          <w:tcPr>
            <w:tcW w:type="dxa" w:w="886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RN-40</w:t>
            </w:r>
          </w:p>
        </w:tc>
        <w:tc>
          <w:tcPr>
            <w:tcW w:type="dxa" w:w="3152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Senha mínima de médico</w:t>
            </w:r>
          </w:p>
        </w:tc>
        <w:tc>
          <w:tcPr>
            <w:tcW w:type="dxa" w:w="5320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8 caracteres</w:t>
            </w:r>
          </w:p>
        </w:tc>
      </w:tr>
      <w:tr>
        <w:trPr>
          <w:cantSplit/>
        </w:trPr>
        <w:tc>
          <w:tcPr>
            <w:tcW w:type="dxa" w:w="886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RN-44</w:t>
            </w:r>
          </w:p>
        </w:tc>
        <w:tc>
          <w:tcPr>
            <w:tcW w:type="dxa" w:w="3152"/>
            <w:shd w:val="clear" w:color="auto" w:fill="F7F7F7"/>
          </w:tcPr>
          <w:p>
            <w:pPr>
              <w:spacing w:after="40" w:before="20"/>
            </w:pPr>
            <w:r>
              <w:rPr>
                <w:rFonts w:ascii="Calibri" w:hAnsi="Calibri"/>
                <w:b w:val="0"/>
                <w:i w:val="0"/>
                <w:color w:val="0A0A0A"/>
                <w:sz w:val="19"/>
              </w:rPr>
              <w:t>Chave PGP por sessão</w:t>
            </w:r>
          </w:p>
        </w:tc>
        <w:tc>
          <w:tcPr>
            <w:tcW w:type="dxa" w:w="5320"/>
            <w:shd w:val="clear" w:color="auto" w:fill="F7F7F7"/>
          </w:tcPr>
          <w:p>
            <w:pPr>
              <w:spacing w:after="40" w:before="20"/>
            </w:pPr>
            <w:r>
              <w:rPr>
                <w:rFonts w:ascii="Consolas" w:hAnsi="Consolas"/>
                <w:color w:val="1F1F1F"/>
                <w:sz w:val="17"/>
                <w:shd w:val="clear" w:color="auto" w:fill="F4F4F4"/>
              </w:rPr>
              <w:t>set_config('app.pgp_key', ...)</w:t>
            </w:r>
          </w:p>
        </w:tc>
      </w:tr>
    </w:tbl>
    <w:p>
      <w:pPr>
        <w:spacing w:after="40" w:before="0"/>
      </w:pPr>
    </w:p>
    <w:p>
      <w:pPr>
        <w:keepNext/>
        <w:keepLines/>
        <w:spacing w:before="360" w:after="140"/>
        <w:widowControl w:val="true"/>
        <w:pBdr>
          <w:bottom w:val="single" w:sz="8" w:space="4" w:color="1F1F1F"/>
        </w:pBdr>
      </w:pPr>
      <w:r>
        <w:rPr>
          <w:rFonts w:ascii="Calibri" w:hAnsi="Calibri"/>
          <w:b/>
          <w:i w:val="0"/>
          <w:color w:val="0A0A0A"/>
          <w:sz w:val="34"/>
        </w:rPr>
        <w:t>10. Considerações finais</w:t>
      </w:r>
    </w:p>
    <w:p>
      <w:pPr>
        <w:spacing w:after="140"/>
        <w:jc w:val="both"/>
        <w:widowControl w:val="true"/>
      </w:pPr>
      <w:r>
        <w:rPr>
          <w:rFonts w:ascii="Calibri" w:hAnsi="Calibri"/>
          <w:b w:val="0"/>
          <w:i w:val="0"/>
          <w:color w:val="0A0A0A"/>
          <w:sz w:val="21"/>
        </w:rPr>
        <w:t>As regras aqui descritas são as que governam o comportamento observável do CITO no estado atual do código. Duas características merecem ênfase do ponto de vista de negócio. Primeiro, a regra clínica de maior valor — o escore e o limiar de decisão — reside no banco de dados, o que torna possível recalibrar o modelo (pesos e limiares) por meio de simples atualizações de dados, sem novo deploy de aplicação, e ainda preserva a auditabilidade de cada execução. Segundo, a proteção de dados pessoais não é um adendo, e sim uma propriedade transversal: ela aparece na cifragem em repouso, na chave por sessão, no mascaramento de CPF na borda, na supressão estatística por k-anonimato e nas trilhas de auditoria imutáveis. Onde o comportamento real do código diverge de uma intenção documentada — como no mascaramento de nome, hoje aplicado apenas ao CPF — o presente documento descreve o que o sistema efetivamente faz.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pBdr>
        <w:top w:val="single" w:sz="4" w:space="4" w:color="D9D9D9"/>
      </w:pBdr>
    </w:pPr>
    <w:r/>
    <w:r>
      <w:rPr>
        <w:rFonts w:ascii="Calibri" w:hAnsi="Calibri"/>
        <w:color w:val="8A8A8A"/>
        <w:sz w:val="16"/>
      </w:rPr>
      <w:t>Documento de Regras de Negócio</w:t>
    </w:r>
    <w:r>
      <w:rPr>
        <w:color w:val="8A8A8A"/>
        <w:sz w:val="16"/>
      </w:rPr>
      <w:tab/>
    </w:r>
    <w:r>
      <w:rPr>
        <w:color w:val="5A5A5A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3" w:lineRule="auto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