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Guia de Instalação e Setup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Sistema CITO — Ferramenta de Pré-diagnóstico da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Este guia é prático e destina-se a dois públicos: o desenvolvedor que precisa subir o projeto localmente e a pessoa que implanta ou deseja compreender o ambiente de produção no Azure App Service. Todas as instruções estão fundamentadas nos arquivos de configuração, dependências e scripts de inicialização efetivamente presentes no repositório.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Visão geral da implantação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CITO é composto por três partes: um front-end estático (React via CDN, sem etapa de build), um back-end FastAPI e um banco PostgreSQL. Existem dois modos de execução, e é fundamental não confundi-los: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Local (desenvolvimento):</w:t>
      </w:r>
      <w:r>
        <w:rPr>
          <w:rFonts w:ascii="Calibri" w:hAnsi="Calibri"/>
          <w:b w:val="0"/>
          <w:i w:val="0"/>
          <w:color w:val="0A0A0A"/>
          <w:sz w:val="21"/>
        </w:rPr>
        <w:t xml:space="preserve"> back-end e front-end rodam como dois processos separados, em portas distintas (8000 e 5500). O script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automatiza essa configuração. Nesse modo, o navegador acessa o front-end em uma origem e a API em outra, o que torna o CORS obrigatório.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Produção (Azure App Service):</w:t>
      </w:r>
      <w:r>
        <w:rPr>
          <w:rFonts w:ascii="Calibri" w:hAnsi="Calibri"/>
          <w:b w:val="0"/>
          <w:i w:val="0"/>
          <w:color w:val="0A0A0A"/>
          <w:sz w:val="21"/>
        </w:rPr>
        <w:t xml:space="preserve"> o próprio FastAPI serve o front-end estático, na mesma origem da API. O script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alibri" w:hAnsi="Calibri"/>
          <w:b/>
          <w:color w:val="0A0A0A"/>
          <w:sz w:val="21"/>
        </w:rPr>
        <w:t>não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executado em produção. Como front e back compartilham a origem, o CORS deixa de ser necessário nesse cenário.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distinção está documentada no cabeçalho do próprio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e materializada em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que serve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quando ela existe ao lado de </w:t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Pré-requisitos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404"/>
        <w:gridCol w:w="7956"/>
      </w:tblGrid>
      <w:tr>
        <w:trPr>
          <w:tblHeader/>
          <w:cantSplit/>
        </w:trPr>
        <w:tc>
          <w:tcPr>
            <w:tcW w:type="dxa" w:w="140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795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Detalhe</w:t>
            </w:r>
          </w:p>
        </w:tc>
      </w:tr>
      <w:tr>
        <w:trPr>
          <w:cantSplit/>
        </w:trPr>
        <w:tc>
          <w:tcPr>
            <w:tcW w:type="dxa" w:w="14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Python</w:t>
            </w:r>
          </w:p>
        </w:tc>
        <w:tc>
          <w:tcPr>
            <w:tcW w:type="dxa" w:w="79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Versão 3.11 ou superior (declarado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pyproject.toml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: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requires-python = "&gt;=3.11"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4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PostgreSQL</w:t>
            </w:r>
          </w:p>
        </w:tc>
        <w:tc>
          <w:tcPr>
            <w:tcW w:type="dxa" w:w="79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Banco com o esquema do CITO já aplicado: tabelas, views, gatilhos e funções (responsabilidade do grupo de Banco). O ambiente de referência usa PostgreSQL 17.6 no Supabase</w:t>
            </w:r>
          </w:p>
        </w:tc>
      </w:tr>
      <w:tr>
        <w:trPr>
          <w:cantSplit/>
        </w:trPr>
        <w:tc>
          <w:tcPr>
            <w:tcW w:type="dxa" w:w="14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Extensões do banco</w:t>
            </w:r>
          </w:p>
        </w:tc>
        <w:tc>
          <w:tcPr>
            <w:tcW w:type="dxa" w:w="795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pgcrypto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(cifragem e hash) 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pg_trgm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(busca por similaridade)</w:t>
            </w:r>
          </w:p>
        </w:tc>
      </w:tr>
      <w:tr>
        <w:trPr>
          <w:cantSplit/>
        </w:trPr>
        <w:tc>
          <w:tcPr>
            <w:tcW w:type="dxa" w:w="14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Navegador</w:t>
            </w:r>
          </w:p>
        </w:tc>
        <w:tc>
          <w:tcPr>
            <w:tcW w:type="dxa" w:w="79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Qualquer navegador moderno para servir e acessar o front-end</w:t>
            </w:r>
          </w:p>
        </w:tc>
      </w:tr>
    </w:tbl>
    <w:p>
      <w:pPr>
        <w:spacing w:after="40" w:before="0"/>
      </w:pP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O back-end depende de comportamentos do banco (gatilhos, defaults e grants) que não são verificáveis apenas por importação do código. Em especial, a view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/>
          <w:color w:val="5A5A5A"/>
          <w:sz w:val="21"/>
        </w:rPr>
        <w:t xml:space="preserve"> precisa expor a coluna calculada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/>
          <w:color w:val="5A5A5A"/>
          <w:sz w:val="21"/>
        </w:rPr>
        <w:t>. A lista completa de suposições sobre o banco está na especificação de integração e deve ser validada no teste ponta a ponta.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Configuração de ambiente (.env)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configuração é tipada e carregada de variáveis de ambiente ou de um arquivo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, por meio de </w:t>
      </w:r>
      <w:r>
        <w:rPr>
          <w:rFonts w:ascii="Consolas" w:hAnsi="Consolas"/>
          <w:color w:val="1F1F1F"/>
          <w:sz w:val="19"/>
          <w:shd w:val="clear" w:color="auto" w:fill="F4F4F4"/>
        </w:rPr>
        <w:t>app/core/config.py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(Pydantic Settings). O repositório fornece um modelo em 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 xml:space="preserve">; copie-o para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ajuste os valores. O arquivo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</w:t>
      </w:r>
      <w:r>
        <w:rPr>
          <w:rFonts w:ascii="Calibri" w:hAnsi="Calibri"/>
          <w:b/>
          <w:color w:val="0A0A0A"/>
          <w:sz w:val="21"/>
        </w:rPr>
        <w:t>nunca</w:t>
      </w:r>
      <w:r>
        <w:rPr>
          <w:rFonts w:ascii="Calibri" w:hAnsi="Calibri"/>
          <w:b w:val="0"/>
          <w:i w:val="0"/>
          <w:color w:val="0A0A0A"/>
          <w:sz w:val="21"/>
        </w:rPr>
        <w:t xml:space="preserve"> deve ser versionado (já consta no </w:t>
      </w:r>
      <w:r>
        <w:rPr>
          <w:rFonts w:ascii="Consolas" w:hAnsi="Consolas"/>
          <w:color w:val="1F1F1F"/>
          <w:sz w:val="19"/>
          <w:shd w:val="clear" w:color="auto" w:fill="F4F4F4"/>
        </w:rPr>
        <w:t>.gitignore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445"/>
        <w:gridCol w:w="3165"/>
        <w:gridCol w:w="4748"/>
      </w:tblGrid>
      <w:tr>
        <w:trPr>
          <w:tblHeader/>
          <w:cantSplit/>
        </w:trPr>
        <w:tc>
          <w:tcPr>
            <w:tcW w:type="dxa" w:w="144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Variável</w:t>
            </w:r>
          </w:p>
        </w:tc>
        <w:tc>
          <w:tcPr>
            <w:tcW w:type="dxa" w:w="316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que serve</w:t>
            </w:r>
          </w:p>
        </w:tc>
        <w:tc>
          <w:tcPr>
            <w:tcW w:type="dxa" w:w="474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Atenção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APP_NAME</w:t>
            </w:r>
          </w:p>
        </w:tc>
        <w:tc>
          <w:tcPr>
            <w:tcW w:type="dxa" w:w="31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exibido do aplicativo</w:t>
            </w:r>
          </w:p>
        </w:tc>
        <w:tc>
          <w:tcPr>
            <w:tcW w:type="dxa" w:w="47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 (padrão "CITO Backend")</w:t>
            </w:r>
          </w:p>
        </w:tc>
      </w:tr>
      <w:tr>
        <w:trPr>
          <w:cantSplit/>
        </w:trPr>
        <w:tc>
          <w:tcPr>
            <w:tcW w:type="dxa" w:w="144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APP_VERSION</w:t>
            </w:r>
          </w:p>
        </w:tc>
        <w:tc>
          <w:tcPr>
            <w:tcW w:type="dxa" w:w="31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Versão do aplicativo</w:t>
            </w:r>
          </w:p>
        </w:tc>
        <w:tc>
          <w:tcPr>
            <w:tcW w:type="dxa" w:w="47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 (padrão "0.1.0")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ENVIRONMENT</w:t>
            </w:r>
          </w:p>
        </w:tc>
        <w:tc>
          <w:tcPr>
            <w:tcW w:type="dxa" w:w="31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Ambiente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development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/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production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  <w:tc>
          <w:tcPr>
            <w:tcW w:type="dxa" w:w="47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</w:t>
            </w:r>
          </w:p>
        </w:tc>
      </w:tr>
      <w:tr>
        <w:trPr>
          <w:cantSplit/>
        </w:trPr>
        <w:tc>
          <w:tcPr>
            <w:tcW w:type="dxa" w:w="144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DEBUG</w:t>
            </w:r>
          </w:p>
        </w:tc>
        <w:tc>
          <w:tcPr>
            <w:tcW w:type="dxa" w:w="31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Liga/desliga modo de depuração</w:t>
            </w:r>
          </w:p>
        </w:tc>
        <w:tc>
          <w:tcPr>
            <w:tcW w:type="dxa" w:w="47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API_PREFIX</w:t>
            </w:r>
          </w:p>
        </w:tc>
        <w:tc>
          <w:tcPr>
            <w:tcW w:type="dxa" w:w="31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Prefixo de todas as rotas</w:t>
            </w:r>
          </w:p>
        </w:tc>
        <w:tc>
          <w:tcPr>
            <w:tcW w:type="dxa" w:w="47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Padrão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/api/v1</w:t>
            </w:r>
          </w:p>
        </w:tc>
      </w:tr>
      <w:tr>
        <w:trPr>
          <w:cantSplit/>
        </w:trPr>
        <w:tc>
          <w:tcPr>
            <w:tcW w:type="dxa" w:w="144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SECRET_KEY</w:t>
            </w:r>
          </w:p>
        </w:tc>
        <w:tc>
          <w:tcPr>
            <w:tcW w:type="dxa" w:w="31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Assinatura do JWT (HS256)</w:t>
            </w:r>
          </w:p>
        </w:tc>
        <w:tc>
          <w:tcPr>
            <w:tcW w:type="dxa" w:w="47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Obrigatória em produção.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Valor longo e aleatório (≥ 32 bytes). Mínimo de 8 caracteres validado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CORS_ORIGINS</w:t>
            </w:r>
          </w:p>
        </w:tc>
        <w:tc>
          <w:tcPr>
            <w:tcW w:type="dxa" w:w="31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Origens liberadas para o front</w:t>
            </w:r>
          </w:p>
        </w:tc>
        <w:tc>
          <w:tcPr>
            <w:tcW w:type="dxa" w:w="47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Necessária no modo local. Origem exata (esquema+host+porta), sem barra final. Aceita CSV ou JSON</w:t>
            </w:r>
          </w:p>
        </w:tc>
      </w:tr>
      <w:tr>
        <w:trPr>
          <w:cantSplit/>
        </w:trPr>
        <w:tc>
          <w:tcPr>
            <w:tcW w:type="dxa" w:w="144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DATABASE_URL</w:t>
            </w:r>
          </w:p>
        </w:tc>
        <w:tc>
          <w:tcPr>
            <w:tcW w:type="dxa" w:w="31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Conexão com o PostgreSQL</w:t>
            </w:r>
          </w:p>
        </w:tc>
        <w:tc>
          <w:tcPr>
            <w:tcW w:type="dxa" w:w="47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Precisa do driver assíncrono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postgresql+asyncpg://...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. Armazenada como segredo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PGP_KEY</w:t>
            </w:r>
          </w:p>
        </w:tc>
        <w:tc>
          <w:tcPr>
            <w:tcW w:type="dxa" w:w="31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Chave de cifragem usada pelas views</w:t>
            </w:r>
          </w:p>
        </w:tc>
        <w:tc>
          <w:tcPr>
            <w:tcW w:type="dxa" w:w="4748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A mesma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chave usada para cifrar os dados existentes. Armazenada como segredo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gerar um </w:t>
      </w:r>
      <w:r>
        <w:rPr>
          <w:rFonts w:ascii="Consolas" w:hAnsi="Consolas"/>
          <w:color w:val="1F1F1F"/>
          <w:sz w:val="19"/>
          <w:shd w:val="clear" w:color="auto" w:fill="F4F4F4"/>
        </w:rPr>
        <w:t>SECRET_KEY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 adequado: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python -c "import secrets; print(secrets.token_urlsafe(48))"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Exemplo de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desenvolvimento local (baseado em 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>):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ENVIRONMENT=development</w:t>
        <w:br/>
        <w:t>DEBUG=true</w:t>
        <w:br/>
        <w:t>API_PREFIX=/api/v1</w:t>
        <w:br/>
        <w:t>SECRET_KEY=&lt;gerado-com-secrets.token_urlsafe&gt;</w:t>
        <w:br/>
        <w:t>CORS_ORIGINS=http://127.0.0.1:5500,http://localhost:5500</w:t>
        <w:br/>
        <w:t>DATABASE_URL='postgresql+asyncpg://USUARIO:SENHA@HOST:5432/cito'</w:t>
        <w:br/>
        <w:t>PGP_KEY='a-mesma-chave-usada-para-cifrar-os-dados'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Detalhe técnico: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/>
          <w:color w:val="5A5A5A"/>
          <w:sz w:val="21"/>
        </w:rPr>
        <w:t xml:space="preserve"> aceita tanto JSON (</w:t>
      </w:r>
      <w:r>
        <w:rPr>
          <w:rFonts w:ascii="Consolas" w:hAnsi="Consolas"/>
          <w:color w:val="1F1F1F"/>
          <w:sz w:val="19"/>
          <w:shd w:val="clear" w:color="auto" w:fill="F4F4F4"/>
        </w:rPr>
        <w:t>["http://a","http://b"]</w:t>
      </w:r>
      <w:r>
        <w:rPr>
          <w:rFonts w:ascii="Calibri" w:hAnsi="Calibri"/>
          <w:b w:val="0"/>
          <w:i/>
          <w:color w:val="5A5A5A"/>
          <w:sz w:val="21"/>
        </w:rPr>
        <w:t>) quanto CSV (</w:t>
      </w:r>
      <w:r>
        <w:rPr>
          <w:rFonts w:ascii="Consolas" w:hAnsi="Consolas"/>
          <w:color w:val="1F1F1F"/>
          <w:sz w:val="19"/>
          <w:shd w:val="clear" w:color="auto" w:fill="F4F4F4"/>
        </w:rPr>
        <w:t>http://a,http://b</w:t>
      </w:r>
      <w:r>
        <w:rPr>
          <w:rFonts w:ascii="Calibri" w:hAnsi="Calibri"/>
          <w:b w:val="0"/>
          <w:i/>
          <w:color w:val="5A5A5A"/>
          <w:sz w:val="21"/>
        </w:rPr>
        <w:t xml:space="preserve">); o parser de configuração trata ambos. Já </w:t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/>
          <w:color w:val="5A5A5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/>
          <w:color w:val="5A5A5A"/>
          <w:sz w:val="21"/>
        </w:rPr>
        <w:t xml:space="preserve"> são tratados como segredos (não vazam em log nem em </w:t>
      </w:r>
      <w:r>
        <w:rPr>
          <w:rFonts w:ascii="Consolas" w:hAnsi="Consolas"/>
          <w:color w:val="1F1F1F"/>
          <w:sz w:val="19"/>
          <w:shd w:val="clear" w:color="auto" w:fill="F4F4F4"/>
        </w:rPr>
        <w:t>repr</w:t>
      </w:r>
      <w:r>
        <w:rPr>
          <w:rFonts w:ascii="Calibri" w:hAnsi="Calibri"/>
          <w:b w:val="0"/>
          <w:i/>
          <w:color w:val="5A5A5A"/>
          <w:sz w:val="21"/>
        </w:rPr>
        <w:t xml:space="preserve">). O esquecimento da origem exata em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/>
          <w:color w:val="5A5A5A"/>
          <w:sz w:val="21"/>
        </w:rPr>
        <w:t xml:space="preserve"> é a causa número um de o front não funcionar mesmo com a API respondendo.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Setup local — caminho automatizado (recomendado)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modo mais simples de subir tudo localmente é o script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que cuida de todo o ciclo: verifica a versão do Python, cria e repara o ambiente virtual </w:t>
      </w:r>
      <w:r>
        <w:rPr>
          <w:rFonts w:ascii="Consolas" w:hAnsi="Consolas"/>
          <w:color w:val="1F1F1F"/>
          <w:sz w:val="19"/>
          <w:shd w:val="clear" w:color="auto" w:fill="F4F4F4"/>
        </w:rPr>
        <w:t>.venv</w:t>
      </w:r>
      <w:r>
        <w:rPr>
          <w:rFonts w:ascii="Calibri" w:hAnsi="Calibri"/>
          <w:b w:val="0"/>
          <w:i w:val="0"/>
          <w:color w:val="0A0A0A"/>
          <w:sz w:val="21"/>
        </w:rPr>
        <w:t xml:space="preserve">, instala as dependências do </w:t>
      </w:r>
      <w:r>
        <w:rPr>
          <w:rFonts w:ascii="Consolas" w:hAnsi="Consolas"/>
          <w:color w:val="1F1F1F"/>
          <w:sz w:val="19"/>
          <w:shd w:val="clear" w:color="auto" w:fill="F4F4F4"/>
        </w:rPr>
        <w:t>pyproject.toml</w:t>
      </w:r>
      <w:r>
        <w:rPr>
          <w:rFonts w:ascii="Calibri" w:hAnsi="Calibri"/>
          <w:b w:val="0"/>
          <w:i w:val="0"/>
          <w:color w:val="0A0A0A"/>
          <w:sz w:val="21"/>
        </w:rPr>
        <w:t xml:space="preserve">, cria 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a partir do 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 xml:space="preserve"> (se necessário) e sobe os dois servidores, abrindo o navegador ao final.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cd CITO</w:t>
        <w:br/>
        <w:t>python run.py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que ele faz, em ordem: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Verifica Python ≥ 3.11 (encerra com mensagem se for inferior).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Cria ou repara o ambiente virtual em </w:t>
      </w:r>
      <w:r>
        <w:rPr>
          <w:rFonts w:ascii="Consolas" w:hAnsi="Consolas"/>
          <w:color w:val="1F1F1F"/>
          <w:sz w:val="19"/>
          <w:shd w:val="clear" w:color="auto" w:fill="F4F4F4"/>
        </w:rPr>
        <w:t>.venv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Atualiza o </w:t>
      </w:r>
      <w:r>
        <w:rPr>
          <w:rFonts w:ascii="Consolas" w:hAnsi="Consolas"/>
          <w:color w:val="1F1F1F"/>
          <w:sz w:val="19"/>
          <w:shd w:val="clear" w:color="auto" w:fill="F4F4F4"/>
        </w:rPr>
        <w:t>pip</w:t>
      </w:r>
      <w:r>
        <w:rPr>
          <w:rFonts w:ascii="Calibri" w:hAnsi="Calibri"/>
          <w:b w:val="0"/>
          <w:i w:val="0"/>
          <w:color w:val="0A0A0A"/>
          <w:sz w:val="21"/>
        </w:rPr>
        <w:t xml:space="preserve"> e instala as dependências com </w:t>
      </w:r>
      <w:r>
        <w:rPr>
          <w:rFonts w:ascii="Consolas" w:hAnsi="Consolas"/>
          <w:color w:val="1F1F1F"/>
          <w:sz w:val="19"/>
          <w:shd w:val="clear" w:color="auto" w:fill="F4F4F4"/>
        </w:rPr>
        <w:t>pip install -e .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Cria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a partir de 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 xml:space="preserve">, se ainda não existir — e avisa para configurar </w:t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SECRET_KEY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Sobe a API (Uvicorn) na porta 8000 e o front-end estático na porta 5500, e abre </w:t>
      </w:r>
      <w:r>
        <w:rPr>
          <w:rFonts w:ascii="Consolas" w:hAnsi="Consolas"/>
          <w:color w:val="1F1F1F"/>
          <w:sz w:val="19"/>
          <w:shd w:val="clear" w:color="auto" w:fill="F4F4F4"/>
        </w:rPr>
        <w:t>http://127.0.0.1:5500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Encerre os dois processos com Ctrl+C — eles são finalizados juntos.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Atenção: na primeira execução 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/>
          <w:color w:val="5A5A5A"/>
          <w:sz w:val="21"/>
        </w:rPr>
        <w:t xml:space="preserve"> é criado com valores padrão (de exemplo). É necessário editá-lo com os valores reais do banco e dos segredos antes que o login e as telas que dependem de dados funcionem.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Setup local — caminho manual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Caso prefira controlar cada etapa, ou esteja em um ambiente onde o script automatizado não se aplique, siga os passos abaixo.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5.1 Back-end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cd CITO</w:t>
        <w:br/>
        <w:br/>
        <w:t># ambiente virtual + dependencias</w:t>
        <w:br/>
        <w:t>python -m venv .venv</w:t>
        <w:br/>
        <w:t>source .venv/bin/activate        # no Windows: .venv\Scripts\activate</w:t>
        <w:br/>
        <w:t>pip install -e .                 # usa as dependencias do pyproject.toml</w:t>
        <w:br/>
        <w:br/>
        <w:t># configuracao</w:t>
        <w:br/>
        <w:t>cp .env.example .env             # depois edite o .env</w:t>
        <w:br/>
        <w:br/>
        <w:t># subir a API</w:t>
        <w:br/>
        <w:t>uvicorn app.main:app --reload --port 8000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Verificações rápidas que dispensam o banco no ar (o asyncpg conecta de forma preguiçosa):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# valida imports, schemas e wiring de rotas</w:t>
        <w:br/>
        <w:t>python -c "import app.main"</w:t>
        <w:br/>
        <w:br/>
        <w:t># guarda de contrato front&lt;-&gt;back (rotas + payloads)</w:t>
        <w:br/>
        <w:t>python scripts/check_contract.py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segundo comando confere, de forma estática, que todo endpoint consumido pelo front existe no back e que os payloads do front validam contra os schemas. Saída com código 0 indica contrato íntegro. Rode-o sempre que mexer em rotas ou campos.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Com a API no ar, verifique: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Saúde: </w:t>
      </w:r>
      <w:r>
        <w:rPr>
          <w:rFonts w:ascii="Consolas" w:hAnsi="Consolas"/>
          <w:color w:val="1F1F1F"/>
          <w:sz w:val="19"/>
          <w:shd w:val="clear" w:color="auto" w:fill="F4F4F4"/>
        </w:rPr>
        <w:t>GET http://localhost:8000/health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Documentação interativa: </w:t>
      </w:r>
      <w:r>
        <w:rPr>
          <w:rFonts w:ascii="Consolas" w:hAnsi="Consolas"/>
          <w:color w:val="1F1F1F"/>
          <w:sz w:val="19"/>
          <w:shd w:val="clear" w:color="auto" w:fill="F4F4F4"/>
        </w:rPr>
        <w:t>http://localhost:8000/api/v1/docs</w:t>
      </w:r>
      <w:r>
        <w:rPr>
          <w:rFonts w:ascii="Calibri" w:hAnsi="Calibri"/>
          <w:b w:val="0"/>
          <w:i w:val="0"/>
          <w:color w:val="0A0A0A"/>
          <w:sz w:val="21"/>
        </w:rPr>
        <w:t xml:space="preserve"> (Swagger) e </w:t>
      </w:r>
      <w:r>
        <w:rPr>
          <w:rFonts w:ascii="Consolas" w:hAnsi="Consolas"/>
          <w:color w:val="1F1F1F"/>
          <w:sz w:val="19"/>
          <w:shd w:val="clear" w:color="auto" w:fill="F4F4F4"/>
        </w:rPr>
        <w:t>/api/v1/redoc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5.2 Front-end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front é estático, sem build. Sirva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por HTTP (não abra via </w:t>
      </w:r>
      <w:r>
        <w:rPr>
          <w:rFonts w:ascii="Consolas" w:hAnsi="Consolas"/>
          <w:color w:val="1F1F1F"/>
          <w:sz w:val="19"/>
          <w:shd w:val="clear" w:color="auto" w:fill="F4F4F4"/>
        </w:rPr>
        <w:t>file://</w:t>
      </w:r>
      <w:r>
        <w:rPr>
          <w:rFonts w:ascii="Calibri" w:hAnsi="Calibri"/>
          <w:b w:val="0"/>
          <w:i w:val="0"/>
          <w:color w:val="0A0A0A"/>
          <w:sz w:val="21"/>
        </w:rPr>
        <w:t>, pois o CORS não funciona com esse esquema):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cd CITO/frontend</w:t>
        <w:br/>
        <w:t>python -m http.server 5500 --bind 127.0.0.1   # -&gt; http://127.0.0.1:5500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URL base da API tem valor padrão </w:t>
      </w:r>
      <w:r>
        <w:rPr>
          <w:rFonts w:ascii="Consolas" w:hAnsi="Consolas"/>
          <w:color w:val="1F1F1F"/>
          <w:sz w:val="19"/>
          <w:shd w:val="clear" w:color="auto" w:fill="F4F4F4"/>
        </w:rPr>
        <w:t>'/api/v1'</w:t>
      </w:r>
      <w:r>
        <w:rPr>
          <w:rFonts w:ascii="Calibri" w:hAnsi="Calibri"/>
          <w:b w:val="0"/>
          <w:i w:val="0"/>
          <w:color w:val="0A0A0A"/>
          <w:sz w:val="21"/>
        </w:rPr>
        <w:t xml:space="preserve">. Para apontar a outro host, defina </w:t>
      </w:r>
      <w:r>
        <w:rPr>
          <w:rFonts w:ascii="Consolas" w:hAnsi="Consolas"/>
          <w:color w:val="1F1F1F"/>
          <w:sz w:val="19"/>
          <w:shd w:val="clear" w:color="auto" w:fill="F4F4F4"/>
        </w:rPr>
        <w:t>window.CITO_API_BASE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, antes do carregamento de </w:t>
      </w:r>
      <w:r>
        <w:rPr>
          <w:rFonts w:ascii="Consolas" w:hAnsi="Consolas"/>
          <w:color w:val="1F1F1F"/>
          <w:sz w:val="19"/>
          <w:shd w:val="clear" w:color="auto" w:fill="F4F4F4"/>
        </w:rPr>
        <w:t>src/api/client.js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origem onde o front é servido (por exemplo, </w:t>
      </w:r>
      <w:r>
        <w:rPr>
          <w:rFonts w:ascii="Consolas" w:hAnsi="Consolas"/>
          <w:color w:val="1F1F1F"/>
          <w:sz w:val="19"/>
          <w:shd w:val="clear" w:color="auto" w:fill="F4F4F4"/>
        </w:rPr>
        <w:t>http://127.0.0.1:5500</w:t>
      </w:r>
      <w:r>
        <w:rPr>
          <w:rFonts w:ascii="Calibri" w:hAnsi="Calibri"/>
          <w:b w:val="0"/>
          <w:i w:val="0"/>
          <w:color w:val="0A0A0A"/>
          <w:sz w:val="21"/>
        </w:rPr>
        <w:t xml:space="preserve">) </w:t>
      </w:r>
      <w:r>
        <w:rPr>
          <w:rFonts w:ascii="Calibri" w:hAnsi="Calibri"/>
          <w:b/>
          <w:color w:val="0A0A0A"/>
          <w:sz w:val="21"/>
        </w:rPr>
        <w:t>precisa</w:t>
      </w:r>
      <w:r>
        <w:rPr>
          <w:rFonts w:ascii="Calibri" w:hAnsi="Calibri"/>
          <w:b w:val="0"/>
          <w:i w:val="0"/>
          <w:color w:val="0A0A0A"/>
          <w:sz w:val="21"/>
        </w:rPr>
        <w:t xml:space="preserve"> constar em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back. Sem isso, o navegador bloqueia todas as chamadas.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Dependências do projeto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dependências de produção do back-end estão declaradas em </w:t>
      </w:r>
      <w:r>
        <w:rPr>
          <w:rFonts w:ascii="Consolas" w:hAnsi="Consolas"/>
          <w:color w:val="1F1F1F"/>
          <w:sz w:val="19"/>
          <w:shd w:val="clear" w:color="auto" w:fill="F4F4F4"/>
        </w:rPr>
        <w:t>pyproject.toml</w:t>
      </w:r>
      <w:r>
        <w:rPr>
          <w:rFonts w:ascii="Calibri" w:hAnsi="Calibri"/>
          <w:b w:val="0"/>
          <w:i w:val="0"/>
          <w:color w:val="0A0A0A"/>
          <w:sz w:val="21"/>
        </w:rPr>
        <w:t xml:space="preserve"> (e espelhadas em </w:t>
      </w:r>
      <w:r>
        <w:rPr>
          <w:rFonts w:ascii="Consolas" w:hAnsi="Consolas"/>
          <w:color w:val="1F1F1F"/>
          <w:sz w:val="19"/>
          <w:shd w:val="clear" w:color="auto" w:fill="F4F4F4"/>
        </w:rPr>
        <w:t>requirements.txt</w:t>
      </w:r>
      <w:r>
        <w:rPr>
          <w:rFonts w:ascii="Calibri" w:hAnsi="Calibri"/>
          <w:b w:val="0"/>
          <w:i w:val="0"/>
          <w:color w:val="0A0A0A"/>
          <w:sz w:val="21"/>
        </w:rPr>
        <w:t>, usado pela implantação no Azure).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573"/>
        <w:gridCol w:w="4786"/>
      </w:tblGrid>
      <w:tr>
        <w:trPr>
          <w:tblHeader/>
          <w:cantSplit/>
        </w:trPr>
        <w:tc>
          <w:tcPr>
            <w:tcW w:type="dxa" w:w="457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Pacote</w:t>
            </w:r>
          </w:p>
        </w:tc>
        <w:tc>
          <w:tcPr>
            <w:tcW w:type="dxa" w:w="478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Papel</w:t>
            </w:r>
          </w:p>
        </w:tc>
      </w:tr>
      <w:tr>
        <w:trPr>
          <w:cantSplit/>
        </w:trPr>
        <w:tc>
          <w:tcPr>
            <w:tcW w:type="dxa" w:w="457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fastapi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0.115)</w:t>
            </w:r>
          </w:p>
        </w:tc>
        <w:tc>
          <w:tcPr>
            <w:tcW w:type="dxa" w:w="47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Framework web</w:t>
            </w:r>
          </w:p>
        </w:tc>
      </w:tr>
      <w:tr>
        <w:trPr>
          <w:cantSplit/>
        </w:trPr>
        <w:tc>
          <w:tcPr>
            <w:tcW w:type="dxa" w:w="4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uvicorn[standard]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0.32)</w:t>
            </w:r>
          </w:p>
        </w:tc>
        <w:tc>
          <w:tcPr>
            <w:tcW w:type="dxa" w:w="47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Servidor ASGI (desenvolvimento)</w:t>
            </w:r>
          </w:p>
        </w:tc>
      </w:tr>
      <w:tr>
        <w:trPr>
          <w:cantSplit/>
        </w:trPr>
        <w:tc>
          <w:tcPr>
            <w:tcW w:type="dxa" w:w="457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gunicorn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22)</w:t>
            </w:r>
          </w:p>
        </w:tc>
        <w:tc>
          <w:tcPr>
            <w:tcW w:type="dxa" w:w="47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Servidor de produção (presente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requirements.txt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pydantic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2.9) +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pydantic-settings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2.6)</w:t>
            </w:r>
          </w:p>
        </w:tc>
        <w:tc>
          <w:tcPr>
            <w:tcW w:type="dxa" w:w="47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Validação, serialização e configuração</w:t>
            </w:r>
          </w:p>
        </w:tc>
      </w:tr>
      <w:tr>
        <w:trPr>
          <w:cantSplit/>
        </w:trPr>
        <w:tc>
          <w:tcPr>
            <w:tcW w:type="dxa" w:w="457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sqlalchemy[asyncio]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2.0)</w:t>
            </w:r>
          </w:p>
        </w:tc>
        <w:tc>
          <w:tcPr>
            <w:tcW w:type="dxa" w:w="47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ORM/Core em modo assíncrono</w:t>
            </w:r>
          </w:p>
        </w:tc>
      </w:tr>
      <w:tr>
        <w:trPr>
          <w:cantSplit/>
        </w:trPr>
        <w:tc>
          <w:tcPr>
            <w:tcW w:type="dxa" w:w="4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asyncpg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0.30)</w:t>
            </w:r>
          </w:p>
        </w:tc>
        <w:tc>
          <w:tcPr>
            <w:tcW w:type="dxa" w:w="478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Driver PostgreSQL assíncrono</w:t>
            </w:r>
          </w:p>
        </w:tc>
      </w:tr>
      <w:tr>
        <w:trPr>
          <w:cantSplit/>
        </w:trPr>
        <w:tc>
          <w:tcPr>
            <w:tcW w:type="dxa" w:w="457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python-multipart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(≥ 0.0.12)</w:t>
            </w:r>
          </w:p>
        </w:tc>
        <w:tc>
          <w:tcPr>
            <w:tcW w:type="dxa" w:w="478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Suporte a formulários (login OAuth2)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dependências de desenvolvimento (opcionais) incluem </w:t>
      </w:r>
      <w:r>
        <w:rPr>
          <w:rFonts w:ascii="Consolas" w:hAnsi="Consolas"/>
          <w:color w:val="1F1F1F"/>
          <w:sz w:val="19"/>
          <w:shd w:val="clear" w:color="auto" w:fill="F4F4F4"/>
        </w:rPr>
        <w:t>pytest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pytest-asyncio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httpx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ruff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mypy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declaradas no grupo </w:t>
      </w:r>
      <w:r>
        <w:rPr>
          <w:rFonts w:ascii="Consolas" w:hAnsi="Consolas"/>
          <w:color w:val="1F1F1F"/>
          <w:sz w:val="19"/>
          <w:shd w:val="clear" w:color="auto" w:fill="F4F4F4"/>
        </w:rPr>
        <w:t>[project.optional-dependencies].dev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</w:t>
      </w:r>
      <w:r>
        <w:rPr>
          <w:rFonts w:ascii="Consolas" w:hAnsi="Consolas"/>
          <w:color w:val="1F1F1F"/>
          <w:sz w:val="19"/>
          <w:shd w:val="clear" w:color="auto" w:fill="F4F4F4"/>
        </w:rPr>
        <w:t>pyproject.toml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front-end não possui dependências instaláveis: React, Babel, Tailwind, jsPDF e fontes são carregados por CDN no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Implantação em produção (Azure App Service)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Em produção, a aplicação é implantada como um único serviço no Azure App Service, no qual o FastAPI serve tanto a API quanto o front-end estático.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7.1 Como o front-end é servido pelo back-end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Em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, quando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frontend/</w:t>
      </w:r>
      <w:r>
        <w:rPr>
          <w:rFonts w:ascii="Calibri" w:hAnsi="Calibri"/>
          <w:b w:val="0"/>
          <w:i w:val="0"/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color="auto" w:fill="F4F4F4"/>
        </w:rPr>
        <w:t>app/</w:t>
      </w:r>
      <w:r>
        <w:rPr>
          <w:rFonts w:ascii="Calibri" w:hAnsi="Calibri"/>
          <w:b w:val="0"/>
          <w:i w:val="0"/>
          <w:color w:val="0A0A0A"/>
          <w:sz w:val="21"/>
        </w:rPr>
        <w:t>, são registradas duas rotas: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A rota raiz (</w:t>
      </w:r>
      <w:r>
        <w:rPr>
          <w:rFonts w:ascii="Consolas" w:hAnsi="Consolas"/>
          <w:color w:val="1F1F1F"/>
          <w:sz w:val="19"/>
          <w:shd w:val="clear" w:color="auto" w:fill="F4F4F4"/>
        </w:rPr>
        <w:t>GET /</w:t>
      </w:r>
      <w:r>
        <w:rPr>
          <w:rFonts w:ascii="Calibri" w:hAnsi="Calibri"/>
          <w:b w:val="0"/>
          <w:i w:val="0"/>
          <w:color w:val="0A0A0A"/>
          <w:sz w:val="21"/>
        </w:rPr>
        <w:t xml:space="preserve">) devolve o </w:t>
      </w:r>
      <w:r>
        <w:rPr>
          <w:rFonts w:ascii="Consolas" w:hAnsi="Consolas"/>
          <w:color w:val="1F1F1F"/>
          <w:sz w:val="19"/>
          <w:shd w:val="clear" w:color="auto" w:fill="F4F4F4"/>
        </w:rPr>
        <w:t>frontend/index.html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Uma rota </w:t>
      </w:r>
      <w:r>
        <w:rPr>
          <w:rFonts w:ascii="Calibri" w:hAnsi="Calibri"/>
          <w:i/>
          <w:color w:val="0A0A0A"/>
          <w:sz w:val="21"/>
        </w:rPr>
        <w:t>catch-all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GET /{full_path:path}</w:t>
      </w:r>
      <w:r>
        <w:rPr>
          <w:rFonts w:ascii="Calibri" w:hAnsi="Calibri"/>
          <w:b w:val="0"/>
          <w:i w:val="0"/>
          <w:color w:val="0A0A0A"/>
          <w:sz w:val="21"/>
        </w:rPr>
        <w:t xml:space="preserve">) devolve o arquivo solicitado (CSS, JS, imagens) quando ele existe, ou o </w:t>
      </w:r>
      <w:r>
        <w:rPr>
          <w:rFonts w:ascii="Consolas" w:hAnsi="Consolas"/>
          <w:color w:val="1F1F1F"/>
          <w:sz w:val="19"/>
          <w:shd w:val="clear" w:color="auto" w:fill="F4F4F4"/>
        </w:rPr>
        <w:t>index.html</w:t>
      </w:r>
      <w:r>
        <w:rPr>
          <w:rFonts w:ascii="Calibri" w:hAnsi="Calibri"/>
          <w:b w:val="0"/>
          <w:i w:val="0"/>
          <w:color w:val="0A0A0A"/>
          <w:sz w:val="21"/>
        </w:rPr>
        <w:t xml:space="preserve"> caso contrário.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Como front e API ficam na mesma origem, o cliente de API usa a base padrão </w:t>
      </w:r>
      <w:r>
        <w:rPr>
          <w:rFonts w:ascii="Consolas" w:hAnsi="Consolas"/>
          <w:color w:val="1F1F1F"/>
          <w:sz w:val="19"/>
          <w:shd w:val="clear" w:color="auto" w:fill="F4F4F4"/>
        </w:rPr>
        <w:t>'/api/v1'</w:t>
      </w:r>
      <w:r>
        <w:rPr>
          <w:rFonts w:ascii="Calibri" w:hAnsi="Calibri"/>
          <w:b w:val="0"/>
          <w:i w:val="0"/>
          <w:color w:val="0A0A0A"/>
          <w:sz w:val="21"/>
        </w:rPr>
        <w:t xml:space="preserve"> e não há necessidade de configurar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o front nesse cenário.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7.2 Build durante a implantação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repositório inclui o arquivo </w:t>
      </w:r>
      <w:r>
        <w:rPr>
          <w:rFonts w:ascii="Consolas" w:hAnsi="Consolas"/>
          <w:color w:val="1F1F1F"/>
          <w:sz w:val="19"/>
          <w:shd w:val="clear" w:color="auto" w:fill="F4F4F4"/>
        </w:rPr>
        <w:t>.deployment</w:t>
      </w:r>
      <w:r>
        <w:rPr>
          <w:rFonts w:ascii="Calibri" w:hAnsi="Calibri"/>
          <w:b w:val="0"/>
          <w:i w:val="0"/>
          <w:color w:val="0A0A0A"/>
          <w:sz w:val="21"/>
        </w:rPr>
        <w:t>, que ativa o build do lado do Azure: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[config]</w:t>
        <w:br/>
        <w:t>SCM_DO_BUILD_DURING_DEPLOYMENT=true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Com essa opção, o Oryx (mecanismo de build do App Service) instala as dependências de </w:t>
      </w:r>
      <w:r>
        <w:rPr>
          <w:rFonts w:ascii="Consolas" w:hAnsi="Consolas"/>
          <w:color w:val="1F1F1F"/>
          <w:sz w:val="19"/>
          <w:shd w:val="clear" w:color="auto" w:fill="F4F4F4"/>
        </w:rPr>
        <w:t>requirements.txt</w:t>
      </w:r>
      <w:r>
        <w:rPr>
          <w:rFonts w:ascii="Calibri" w:hAnsi="Calibri"/>
          <w:b w:val="0"/>
          <w:i w:val="0"/>
          <w:color w:val="0A0A0A"/>
          <w:sz w:val="21"/>
        </w:rPr>
        <w:t xml:space="preserve"> durante a publicação. Por isso o </w:t>
      </w:r>
      <w:r>
        <w:rPr>
          <w:rFonts w:ascii="Consolas" w:hAnsi="Consolas"/>
          <w:color w:val="1F1F1F"/>
          <w:sz w:val="19"/>
          <w:shd w:val="clear" w:color="auto" w:fill="F4F4F4"/>
        </w:rPr>
        <w:t>gunicorn</w:t>
      </w:r>
      <w:r>
        <w:rPr>
          <w:rFonts w:ascii="Calibri" w:hAnsi="Calibri"/>
          <w:b w:val="0"/>
          <w:i w:val="0"/>
          <w:color w:val="0A0A0A"/>
          <w:sz w:val="21"/>
        </w:rPr>
        <w:t xml:space="preserve"> está presente em </w:t>
      </w:r>
      <w:r>
        <w:rPr>
          <w:rFonts w:ascii="Consolas" w:hAnsi="Consolas"/>
          <w:color w:val="1F1F1F"/>
          <w:sz w:val="19"/>
          <w:shd w:val="clear" w:color="auto" w:fill="F4F4F4"/>
        </w:rPr>
        <w:t>requirements.txt</w:t>
      </w:r>
      <w:r>
        <w:rPr>
          <w:rFonts w:ascii="Calibri" w:hAnsi="Calibri"/>
          <w:b w:val="0"/>
          <w:i w:val="0"/>
          <w:color w:val="0A0A0A"/>
          <w:sz w:val="21"/>
        </w:rPr>
        <w:t>: ele é o servidor de produção.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7.3 Comando de inicialização (Startup Command)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Em produção, o Azure invoca o servidor diretamente — o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 participa. O objeto ASGI exportado é </w:t>
      </w:r>
      <w:r>
        <w:rPr>
          <w:rFonts w:ascii="Consolas" w:hAnsi="Consolas"/>
          <w:color w:val="1F1F1F"/>
          <w:sz w:val="19"/>
          <w:shd w:val="clear" w:color="auto" w:fill="F4F4F4"/>
        </w:rPr>
        <w:t>app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</w:t>
      </w:r>
      <w:r>
        <w:rPr>
          <w:rFonts w:ascii="Consolas" w:hAnsi="Consolas"/>
          <w:color w:val="1F1F1F"/>
          <w:sz w:val="19"/>
          <w:shd w:val="clear" w:color="auto" w:fill="F4F4F4"/>
        </w:rPr>
        <w:t>app/main.py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color="auto" w:fill="F4F4F4"/>
        </w:rPr>
        <w:t>uvicorn app.main:app</w:t>
      </w:r>
      <w:r>
        <w:rPr>
          <w:rFonts w:ascii="Calibri" w:hAnsi="Calibri"/>
          <w:b w:val="0"/>
          <w:i w:val="0"/>
          <w:color w:val="0A0A0A"/>
          <w:sz w:val="21"/>
        </w:rPr>
        <w:t xml:space="preserve"> localmente). No App Service, configura-se um Startup Command que sobe a aplicação por meio do Gunicorn com workers Uvicorn, no padrão recomendado para FastAPI: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gunicorn -w 4 -k uvicorn.workers.UvicornWorker app.main:app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App Service expõe a aplicação na porta interna padrão; o Gunicorn deve escutar nessa porta (no Linux App Service, normalmente a variável </w:t>
      </w:r>
      <w:r>
        <w:rPr>
          <w:rFonts w:ascii="Consolas" w:hAnsi="Consolas"/>
          <w:color w:val="1F1F1F"/>
          <w:sz w:val="19"/>
          <w:shd w:val="clear" w:color="auto" w:fill="F4F4F4"/>
        </w:rPr>
        <w:t>PORT</w:t>
      </w:r>
      <w:r>
        <w:rPr>
          <w:rFonts w:ascii="Calibri" w:hAnsi="Calibri"/>
          <w:b w:val="0"/>
          <w:i w:val="0"/>
          <w:color w:val="0A0A0A"/>
          <w:sz w:val="21"/>
        </w:rPr>
        <w:t xml:space="preserve"> informada pelo ambiente). O número de </w:t>
      </w:r>
      <w:r>
        <w:rPr>
          <w:rFonts w:ascii="Calibri" w:hAnsi="Calibri"/>
          <w:i/>
          <w:color w:val="0A0A0A"/>
          <w:sz w:val="21"/>
        </w:rPr>
        <w:t>workers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deve ser ajustado ao plano de hospedagem.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7.4 Variáveis de ambiente em produção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No App Service, defina as configurações da aplicação (App Settings) com os mesmos nomes do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, no mínimo: </w:t>
      </w:r>
      <w:r>
        <w:rPr>
          <w:rFonts w:ascii="Consolas" w:hAnsi="Consolas"/>
          <w:color w:val="1F1F1F"/>
          <w:sz w:val="19"/>
          <w:shd w:val="clear" w:color="auto" w:fill="F4F4F4"/>
        </w:rPr>
        <w:t>SECRET_KEY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 w:val="0"/>
          <w:color w:val="0A0A0A"/>
          <w:sz w:val="21"/>
        </w:rPr>
        <w:t xml:space="preserve"> (com o driver </w:t>
      </w:r>
      <w:r>
        <w:rPr>
          <w:rFonts w:ascii="Consolas" w:hAnsi="Consolas"/>
          <w:color w:val="1F1F1F"/>
          <w:sz w:val="19"/>
          <w:shd w:val="clear" w:color="auto" w:fill="F4F4F4"/>
        </w:rPr>
        <w:t>postgresql+asyncpg://</w:t>
      </w:r>
      <w:r>
        <w:rPr>
          <w:rFonts w:ascii="Calibri" w:hAnsi="Calibri"/>
          <w:b w:val="0"/>
          <w:i w:val="0"/>
          <w:color w:val="0A0A0A"/>
          <w:sz w:val="21"/>
        </w:rPr>
        <w:t xml:space="preserve">), 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ENVIRONMENT=production</w:t>
      </w:r>
      <w:r>
        <w:rPr>
          <w:rFonts w:ascii="Calibri" w:hAnsi="Calibri"/>
          <w:b w:val="0"/>
          <w:i w:val="0"/>
          <w:color w:val="0A0A0A"/>
          <w:sz w:val="21"/>
        </w:rPr>
        <w:t xml:space="preserve">. Como o front é servido pela mesma origem, </w:t>
      </w:r>
      <w:r>
        <w:rPr>
          <w:rFonts w:ascii="Consolas" w:hAnsi="Consolas"/>
          <w:color w:val="1F1F1F"/>
          <w:sz w:val="19"/>
          <w:shd w:val="clear" w:color="auto" w:fill="F4F4F4"/>
        </w:rPr>
        <w:t>CORS_ORIGINS</w:t>
      </w:r>
      <w:r>
        <w:rPr>
          <w:rFonts w:ascii="Calibri" w:hAnsi="Calibri"/>
          <w:b w:val="0"/>
          <w:i w:val="0"/>
          <w:color w:val="0A0A0A"/>
          <w:sz w:val="21"/>
        </w:rPr>
        <w:t xml:space="preserve"> só é necessário se houver clientes em origens distintas.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Observação sobre conectividade do banco: no ambiente de referência (Supabase), a conexão da aplicação usa o </w:t>
      </w:r>
      <w:r>
        <w:rPr>
          <w:rFonts w:ascii="Calibri" w:hAnsi="Calibri"/>
          <w:i/>
          <w:color w:val="5A5A5A"/>
          <w:sz w:val="21"/>
        </w:rPr>
        <w:t>session pooler</w:t>
      </w:r>
      <w:r>
        <w:rPr>
          <w:rFonts w:ascii="Calibri" w:hAnsi="Calibri"/>
          <w:b w:val="0"/>
          <w:i/>
          <w:color w:val="5A5A5A"/>
          <w:sz w:val="21"/>
        </w:rPr>
        <w:t xml:space="preserve"> IPv4 (</w:t>
      </w:r>
      <w:r>
        <w:rPr>
          <w:rFonts w:ascii="Consolas" w:hAnsi="Consolas"/>
          <w:color w:val="1F1F1F"/>
          <w:sz w:val="19"/>
          <w:shd w:val="clear" w:color="auto" w:fill="F4F4F4"/>
        </w:rPr>
        <w:t>aws-1-sa-east-1.pooler.supabase.com:5432</w:t>
      </w:r>
      <w:r>
        <w:rPr>
          <w:rFonts w:ascii="Calibri" w:hAnsi="Calibri"/>
          <w:b w:val="0"/>
          <w:i/>
          <w:color w:val="5A5A5A"/>
          <w:sz w:val="21"/>
        </w:rPr>
        <w:t xml:space="preserve">), pois o host direto é apenas IPv6. Esse detalhe importa ao montar a </w:t>
      </w:r>
      <w:r>
        <w:rPr>
          <w:rFonts w:ascii="Consolas" w:hAnsi="Consolas"/>
          <w:color w:val="1F1F1F"/>
          <w:sz w:val="19"/>
          <w:shd w:val="clear" w:color="auto" w:fill="F4F4F4"/>
        </w:rPr>
        <w:t>DATABASE_URL</w:t>
      </w:r>
      <w:r>
        <w:rPr>
          <w:rFonts w:ascii="Calibri" w:hAnsi="Calibri"/>
          <w:b w:val="0"/>
          <w:i/>
          <w:color w:val="5A5A5A"/>
          <w:sz w:val="21"/>
        </w:rPr>
        <w:t xml:space="preserve"> no ambiente de hospedagem.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7.5 Empacotamento da publicação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arquivo </w:t>
      </w:r>
      <w:r>
        <w:rPr>
          <w:rFonts w:ascii="Consolas" w:hAnsi="Consolas"/>
          <w:color w:val="1F1F1F"/>
          <w:sz w:val="19"/>
          <w:shd w:val="clear" w:color="auto" w:fill="F4F4F4"/>
        </w:rPr>
        <w:t>.vscode/settings.json</w:t>
      </w:r>
      <w:r>
        <w:rPr>
          <w:rFonts w:ascii="Calibri" w:hAnsi="Calibri"/>
          <w:b w:val="0"/>
          <w:i w:val="0"/>
          <w:color w:val="0A0A0A"/>
          <w:sz w:val="21"/>
        </w:rPr>
        <w:t xml:space="preserve"> define </w:t>
      </w:r>
      <w:r>
        <w:rPr>
          <w:rFonts w:ascii="Consolas" w:hAnsi="Consolas"/>
          <w:color w:val="1F1F1F"/>
          <w:sz w:val="19"/>
          <w:shd w:val="clear" w:color="auto" w:fill="F4F4F4"/>
        </w:rPr>
        <w:t>appService.zipIgnorePattern</w:t>
      </w:r>
      <w:r>
        <w:rPr>
          <w:rFonts w:ascii="Calibri" w:hAnsi="Calibri"/>
          <w:b w:val="0"/>
          <w:i w:val="0"/>
          <w:color w:val="0A0A0A"/>
          <w:sz w:val="21"/>
        </w:rPr>
        <w:t>, que exclui do pacote de publicação artefatos desnecessários: caches de Python, diretórios de build, ambientes virtuais (</w:t>
      </w:r>
      <w:r>
        <w:rPr>
          <w:rFonts w:ascii="Consolas" w:hAnsi="Consolas"/>
          <w:color w:val="1F1F1F"/>
          <w:sz w:val="19"/>
          <w:shd w:val="clear" w:color="auto" w:fill="F4F4F4"/>
        </w:rPr>
        <w:t>.venv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env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venv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o próprio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. Isso evita publicar segredos locais e reduz o tamanho do pacote — os segredos de produção devem vir das App Settings, não de um </w:t>
      </w:r>
      <w:r>
        <w:rPr>
          <w:rFonts w:ascii="Consolas" w:hAnsi="Consolas"/>
          <w:color w:val="1F1F1F"/>
          <w:sz w:val="19"/>
          <w:shd w:val="clear" w:color="auto" w:fill="F4F4F4"/>
        </w:rPr>
        <w:t>.env</w:t>
      </w:r>
      <w:r>
        <w:rPr>
          <w:rFonts w:ascii="Calibri" w:hAnsi="Calibri"/>
          <w:b w:val="0"/>
          <w:i w:val="0"/>
          <w:color w:val="0A0A0A"/>
          <w:sz w:val="21"/>
        </w:rPr>
        <w:t xml:space="preserve"> empacotado.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Sonda de saúde e diagnóstico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aplicação expõe </w:t>
      </w:r>
      <w:r>
        <w:rPr>
          <w:rFonts w:ascii="Consolas" w:hAnsi="Consolas"/>
          <w:color w:val="1F1F1F"/>
          <w:sz w:val="19"/>
          <w:shd w:val="clear" w:color="auto" w:fill="F4F4F4"/>
        </w:rPr>
        <w:t>GET /health</w:t>
      </w:r>
      <w:r>
        <w:rPr>
          <w:rFonts w:ascii="Calibri" w:hAnsi="Calibri"/>
          <w:b w:val="0"/>
          <w:i w:val="0"/>
          <w:color w:val="0A0A0A"/>
          <w:sz w:val="21"/>
        </w:rPr>
        <w:t xml:space="preserve"> fora do prefixo da API, para uso por infraestrutura. No estado atual do código, esse endpoint opera em modo de diagnóstico: além do status, retorna informações úteis para depurar a implantação no Azure — se a pasta </w:t>
      </w:r>
      <w:r>
        <w:rPr>
          <w:rFonts w:ascii="Consolas" w:hAnsi="Consolas"/>
          <w:color w:val="1F1F1F"/>
          <w:sz w:val="19"/>
          <w:shd w:val="clear" w:color="auto" w:fill="F4F4F4"/>
        </w:rPr>
        <w:t>frontend</w:t>
      </w:r>
      <w:r>
        <w:rPr>
          <w:rFonts w:ascii="Calibri" w:hAnsi="Calibri"/>
          <w:b w:val="0"/>
          <w:i w:val="0"/>
          <w:color w:val="0A0A0A"/>
          <w:sz w:val="21"/>
        </w:rPr>
        <w:t xml:space="preserve"> foi encontrada, o caminho calculado para ela e o conteúdo do diretório raiz. É uma forma rápida de confirmar que o empacotamento incluiu o front-end no servidor.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Fluxo de validação ponta a ponta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Após a configuração, valide a integração percorrendo o caminho clínico completo: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/>
          <w:color w:val="0A0A0A"/>
          <w:sz w:val="21"/>
        </w:rPr>
        <w:t>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um usuário válido (médico ou administrador).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/>
          <w:color w:val="0A0A0A"/>
          <w:sz w:val="21"/>
        </w:rPr>
        <w:t>Dashboard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confirma que o resumo operacional carrega.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/>
          <w:color w:val="0A0A0A"/>
          <w:sz w:val="21"/>
        </w:rPr>
        <w:t>Cadastrar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testa cifragem de nome e mascaramento de CPF.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/>
          <w:color w:val="0A0A0A"/>
          <w:sz w:val="21"/>
        </w:rPr>
        <w:t>Nova 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checklist de sintomas + histórico familiar; submissão e cálculo de escore no banco.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/>
          <w:color w:val="0A0A0A"/>
          <w:sz w:val="21"/>
        </w:rPr>
        <w:t>Prontuário do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histórico de avaliações e reimpressão de laudo.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/>
          <w:color w:val="0A0A0A"/>
          <w:sz w:val="21"/>
        </w:rPr>
        <w:t>Agenda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criação e edição de agendamentos.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7. </w:t>
      </w:r>
      <w:r>
        <w:rPr>
          <w:rFonts w:ascii="Calibri" w:hAnsi="Calibri"/>
          <w:b/>
          <w:color w:val="0A0A0A"/>
          <w:sz w:val="21"/>
        </w:rPr>
        <w:t>Relatórios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 (em Configurações) — gráficos a partir das avaliações finalizadas.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8. </w:t>
      </w:r>
      <w:r>
        <w:rPr>
          <w:rFonts w:ascii="Calibri" w:hAnsi="Calibri"/>
          <w:b/>
          <w:color w:val="0A0A0A"/>
          <w:sz w:val="21"/>
        </w:rPr>
        <w:t>Logout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encerramento da sessão.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10. Resolução de problemas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603"/>
        <w:gridCol w:w="2885"/>
        <w:gridCol w:w="3870"/>
      </w:tblGrid>
      <w:tr>
        <w:trPr>
          <w:tblHeader/>
          <w:cantSplit/>
        </w:trPr>
        <w:tc>
          <w:tcPr>
            <w:tcW w:type="dxa" w:w="260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Sintoma</w:t>
            </w:r>
          </w:p>
        </w:tc>
        <w:tc>
          <w:tcPr>
            <w:tcW w:type="dxa" w:w="288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Causa provável</w:t>
            </w:r>
          </w:p>
        </w:tc>
        <w:tc>
          <w:tcPr>
            <w:tcW w:type="dxa" w:w="387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</w:tr>
      <w:tr>
        <w:trPr>
          <w:cantSplit/>
        </w:trPr>
        <w:tc>
          <w:tcPr>
            <w:tcW w:type="dxa" w:w="26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 API responde no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curl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, mas o front não funciona</w:t>
            </w:r>
          </w:p>
        </w:tc>
        <w:tc>
          <w:tcPr>
            <w:tcW w:type="dxa" w:w="28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Origem do front ausente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CORS_ORIGINS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(modo local)</w:t>
            </w:r>
          </w:p>
        </w:tc>
        <w:tc>
          <w:tcPr>
            <w:tcW w:type="dxa" w:w="38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Inclua a origem exata (ex.: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http://127.0.0.1:5500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) no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.env</w:t>
            </w:r>
          </w:p>
        </w:tc>
      </w:tr>
      <w:tr>
        <w:trPr>
          <w:cantSplit/>
        </w:trPr>
        <w:tc>
          <w:tcPr>
            <w:tcW w:type="dxa" w:w="26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Erro de driver ao conectar no banco</w:t>
            </w:r>
          </w:p>
        </w:tc>
        <w:tc>
          <w:tcPr>
            <w:tcW w:type="dxa" w:w="288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DATABASE_URL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sem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+asyncpg</w:t>
            </w:r>
          </w:p>
        </w:tc>
        <w:tc>
          <w:tcPr>
            <w:tcW w:type="dxa" w:w="38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Use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postgresql+asyncpg://...</w:t>
            </w:r>
          </w:p>
        </w:tc>
      </w:tr>
      <w:tr>
        <w:trPr>
          <w:cantSplit/>
        </w:trPr>
        <w:tc>
          <w:tcPr>
            <w:tcW w:type="dxa" w:w="26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Nomes ilegíveis ou falha ao decifrar</w:t>
            </w:r>
          </w:p>
        </w:tc>
        <w:tc>
          <w:tcPr>
            <w:tcW w:type="dxa" w:w="288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PGP_KEY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diferente da usada para cifrar os dados</w:t>
            </w:r>
          </w:p>
        </w:tc>
        <w:tc>
          <w:tcPr>
            <w:tcW w:type="dxa" w:w="38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Configure a mesma chave PGP dos dados existentes</w:t>
            </w:r>
          </w:p>
        </w:tc>
      </w:tr>
      <w:tr>
        <w:trPr>
          <w:cantSplit/>
        </w:trPr>
        <w:tc>
          <w:tcPr>
            <w:tcW w:type="dxa" w:w="26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Dashboard/histórico falham em runtime</w:t>
            </w:r>
          </w:p>
        </w:tc>
        <w:tc>
          <w:tcPr>
            <w:tcW w:type="dxa" w:w="28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 view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avaliacoes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não expõe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recomenda_exame</w:t>
            </w:r>
          </w:p>
        </w:tc>
        <w:tc>
          <w:tcPr>
            <w:tcW w:type="dxa" w:w="38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Aplicar a correção da view (grupo de Banco)</w:t>
            </w:r>
          </w:p>
        </w:tc>
      </w:tr>
      <w:tr>
        <w:trPr>
          <w:cantSplit/>
        </w:trPr>
        <w:tc>
          <w:tcPr>
            <w:tcW w:type="dxa" w:w="26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Front não aparece em produção</w:t>
            </w:r>
          </w:p>
        </w:tc>
        <w:tc>
          <w:tcPr>
            <w:tcW w:type="dxa" w:w="28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Pasta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frontend/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não foi empacotada</w:t>
            </w:r>
          </w:p>
        </w:tc>
        <w:tc>
          <w:tcPr>
            <w:tcW w:type="dxa" w:w="38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Verifique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GET /health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e o conteúdo da raiz publicada</w:t>
            </w:r>
          </w:p>
        </w:tc>
      </w:tr>
      <w:tr>
        <w:trPr>
          <w:cantSplit/>
        </w:trPr>
        <w:tc>
          <w:tcPr>
            <w:tcW w:type="dxa" w:w="26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Login retorna 429</w:t>
            </w:r>
          </w:p>
        </w:tc>
        <w:tc>
          <w:tcPr>
            <w:tcW w:type="dxa" w:w="28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Proteção contra força bruta acionada</w:t>
            </w:r>
          </w:p>
        </w:tc>
        <w:tc>
          <w:tcPr>
            <w:tcW w:type="dxa" w:w="38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Aguardar 10 minutos (5 falhas por IP na janela)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11. Resumo de portas e URLs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908"/>
        <w:gridCol w:w="4725"/>
        <w:gridCol w:w="2726"/>
      </w:tblGrid>
      <w:tr>
        <w:trPr>
          <w:tblHeader/>
          <w:cantSplit/>
        </w:trPr>
        <w:tc>
          <w:tcPr>
            <w:tcW w:type="dxa" w:w="190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Recurso</w:t>
            </w:r>
          </w:p>
        </w:tc>
        <w:tc>
          <w:tcPr>
            <w:tcW w:type="dxa" w:w="472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Local</w:t>
            </w:r>
          </w:p>
        </w:tc>
        <w:tc>
          <w:tcPr>
            <w:tcW w:type="dxa" w:w="272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Produção (Azure)</w:t>
            </w:r>
          </w:p>
        </w:tc>
      </w:tr>
      <w:tr>
        <w:trPr>
          <w:cantSplit/>
        </w:trPr>
        <w:tc>
          <w:tcPr>
            <w:tcW w:type="dxa" w:w="190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Back-end (API)</w:t>
            </w:r>
          </w:p>
        </w:tc>
        <w:tc>
          <w:tcPr>
            <w:tcW w:type="dxa" w:w="472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http://localhost:8000/api/v1</w:t>
            </w:r>
          </w:p>
        </w:tc>
        <w:tc>
          <w:tcPr>
            <w:tcW w:type="dxa" w:w="272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Mesma origem do site, sob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/api/v1</w:t>
            </w:r>
          </w:p>
        </w:tc>
      </w:tr>
      <w:tr>
        <w:trPr>
          <w:cantSplit/>
        </w:trPr>
        <w:tc>
          <w:tcPr>
            <w:tcW w:type="dxa" w:w="190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Front-end</w:t>
            </w:r>
          </w:p>
        </w:tc>
        <w:tc>
          <w:tcPr>
            <w:tcW w:type="dxa" w:w="472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http://127.0.0.1:5500</w:t>
            </w:r>
          </w:p>
        </w:tc>
        <w:tc>
          <w:tcPr>
            <w:tcW w:type="dxa" w:w="272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Servido pela própria aplicação (rota raiz)</w:t>
            </w:r>
          </w:p>
        </w:tc>
      </w:tr>
      <w:tr>
        <w:trPr>
          <w:cantSplit/>
        </w:trPr>
        <w:tc>
          <w:tcPr>
            <w:tcW w:type="dxa" w:w="190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Documentação da API</w:t>
            </w:r>
          </w:p>
        </w:tc>
        <w:tc>
          <w:tcPr>
            <w:tcW w:type="dxa" w:w="4725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http://localhost:8000/api/v1/docs</w:t>
            </w:r>
          </w:p>
        </w:tc>
        <w:tc>
          <w:tcPr>
            <w:tcW w:type="dxa" w:w="272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&lt;host&gt;/api/v1/docs</w:t>
            </w:r>
          </w:p>
        </w:tc>
      </w:tr>
      <w:tr>
        <w:trPr>
          <w:cantSplit/>
        </w:trPr>
        <w:tc>
          <w:tcPr>
            <w:tcW w:type="dxa" w:w="190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Saúde</w:t>
            </w:r>
          </w:p>
        </w:tc>
        <w:tc>
          <w:tcPr>
            <w:tcW w:type="dxa" w:w="472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http://localhost:8000/health</w:t>
            </w:r>
          </w:p>
        </w:tc>
        <w:tc>
          <w:tcPr>
            <w:tcW w:type="dxa" w:w="272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&lt;host&gt;/health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Guia de Instalação e Setup</w:t>
    </w:r>
    <w:r>
      <w:rPr>
        <w:color w:val="8A8A8A"/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