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200"/>
        <w:jc w:val="center"/>
      </w:pPr>
      <w:r>
        <w:rPr>
          <w:rFonts w:ascii="Calibri" w:hAnsi="Calibri"/>
          <w:b/>
          <w:color w:val="0A0A0A"/>
          <w:sz w:val="60"/>
        </w:rPr>
        <w:t>Ata de Registro de Desenvolvimento</w:t>
      </w:r>
    </w:p>
    <w:p>
      <w:pPr>
        <w:spacing w:after="280"/>
        <w:jc w:val="center"/>
        <w:pBdr>
          <w:bottom w:val="single" w:sz="6" w:space="1" w:color="1F1F1F"/>
        </w:pBdr>
      </w:pPr>
    </w:p>
    <w:p>
      <w:pPr>
        <w:spacing w:after="520"/>
        <w:jc w:val="center"/>
      </w:pPr>
      <w:r>
        <w:rPr>
          <w:rFonts w:ascii="Calibri" w:hAnsi="Calibri"/>
          <w:b w:val="0"/>
          <w:i w:val="0"/>
          <w:color w:val="5A5A5A"/>
          <w:sz w:val="28"/>
        </w:rPr>
        <w:t>Projeto CITO — Sistema de Triagem para a Síndrome do X Frágil</w:t>
      </w:r>
    </w:p>
    <w:p>
      <w:pPr>
        <w:spacing w:after="160"/>
        <w:ind w:left="864" w:right="864"/>
        <w:jc w:val="center"/>
      </w:pPr>
      <w:r>
        <w:rPr>
          <w:rFonts w:ascii="Calibri" w:hAnsi="Calibri"/>
          <w:b w:val="0"/>
          <w:i w:val="0"/>
          <w:color w:val="333333"/>
          <w:sz w:val="22"/>
        </w:rPr>
        <w:t>Registro do desenvolvimento do projeto CITO, organizado por sprints, com a síntese das atividades, dos commits e das funcionalidades entregues ao longo do período. Documento baseado no histórico de versionamento do repositório.</w:t>
      </w:r>
    </w:p>
    <w:p>
      <w:pPr>
        <w:spacing w:after="160"/>
        <w:ind w:left="864" w:right="864"/>
        <w:jc w:val="center"/>
      </w:pPr>
      <w:r>
        <w:rPr>
          <w:rFonts w:ascii="Consolas" w:hAnsi="Consolas"/>
          <w:color w:val="8A8A8A"/>
          <w:sz w:val="18"/>
        </w:rPr>
        <w:t>Período: 26 de maio de 2026 a 13 de junho de 2026 · Total de commits: 109 · Repositório: github.com/Rhuuuyyyy/CITO</w:t>
      </w:r>
    </w:p>
    <w:p>
      <w:r>
        <w:br w:type="page"/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1. Identificação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3403"/>
        <w:gridCol w:w="5956"/>
      </w:tblGrid>
      <w:tr>
        <w:trPr>
          <w:tblHeader/>
          <w:cantSplit/>
        </w:trPr>
        <w:tc>
          <w:tcPr>
            <w:tcW w:type="dxa" w:w="3403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5956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Informação</w:t>
            </w:r>
          </w:p>
        </w:tc>
      </w:tr>
      <w:tr>
        <w:trPr>
          <w:cantSplit/>
        </w:trPr>
        <w:tc>
          <w:tcPr>
            <w:tcW w:type="dxa" w:w="34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Projeto</w:t>
            </w:r>
          </w:p>
        </w:tc>
        <w:tc>
          <w:tcPr>
            <w:tcW w:type="dxa" w:w="59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CITO — Ferramenta de pré-diagnóstico da Síndrome do X Frágil (SXF)</w:t>
            </w:r>
          </w:p>
        </w:tc>
      </w:tr>
      <w:tr>
        <w:trPr>
          <w:cantSplit/>
        </w:trPr>
        <w:tc>
          <w:tcPr>
            <w:tcW w:type="dxa" w:w="34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Período de desenvolvimento</w:t>
            </w:r>
          </w:p>
        </w:tc>
        <w:tc>
          <w:tcPr>
            <w:tcW w:type="dxa" w:w="59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26/05/2026 a 13/06/2026 (aproximadamente 19 dias)</w:t>
            </w:r>
          </w:p>
        </w:tc>
      </w:tr>
      <w:tr>
        <w:trPr>
          <w:cantSplit/>
        </w:trPr>
        <w:tc>
          <w:tcPr>
            <w:tcW w:type="dxa" w:w="34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Total de commits registrados</w:t>
            </w:r>
          </w:p>
        </w:tc>
        <w:tc>
          <w:tcPr>
            <w:tcW w:type="dxa" w:w="59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109</w:t>
            </w:r>
          </w:p>
        </w:tc>
      </w:tr>
      <w:tr>
        <w:trPr>
          <w:cantSplit/>
        </w:trPr>
        <w:tc>
          <w:tcPr>
            <w:tcW w:type="dxa" w:w="3403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Repositório</w:t>
            </w:r>
          </w:p>
        </w:tc>
        <w:tc>
          <w:tcPr>
            <w:tcW w:type="dxa" w:w="5956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https://github.com/Rhuuuyyyy/CITO</w:t>
            </w:r>
          </w:p>
        </w:tc>
      </w:tr>
      <w:tr>
        <w:trPr>
          <w:cantSplit/>
        </w:trPr>
        <w:tc>
          <w:tcPr>
            <w:tcW w:type="dxa" w:w="3403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Sistema em produção</w:t>
            </w:r>
          </w:p>
        </w:tc>
        <w:tc>
          <w:tcPr>
            <w:tcW w:type="dxa" w:w="5956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citosina.com.br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1.1 Equipe (contribuidores registrados no versionamento)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Os nomes abaixo constam como autores dos commits no histórico do repositório: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Rhyan Rocha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Pedro Maraski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João Vitor de Souza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Augusto Neon / Augusto Ryba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Nathan N.</w:t>
      </w:r>
    </w:p>
    <w:p>
      <w:pPr>
        <w:keepLines/>
        <w:spacing w:before="80" w:after="180"/>
        <w:ind w:left="403"/>
        <w:pBdr>
          <w:left w:val="single" w:sz="18" w:space="10" w:color="1F1F1F"/>
        </w:pBdr>
      </w:pPr>
      <w:r>
        <w:rPr>
          <w:rFonts w:ascii="Calibri" w:hAnsi="Calibri"/>
          <w:b w:val="0"/>
          <w:i/>
          <w:color w:val="5A5A5A"/>
          <w:sz w:val="21"/>
        </w:rPr>
        <w:t>A organização e a redação de parte da documentação técnica contaram com apoio de ferramentas de automação.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2. Visão geral por sprints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1220"/>
        <w:gridCol w:w="2170"/>
        <w:gridCol w:w="5968"/>
      </w:tblGrid>
      <w:tr>
        <w:trPr>
          <w:tblHeader/>
          <w:cantSplit/>
        </w:trPr>
        <w:tc>
          <w:tcPr>
            <w:tcW w:type="dxa" w:w="122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Sprint</w:t>
            </w:r>
          </w:p>
        </w:tc>
        <w:tc>
          <w:tcPr>
            <w:tcW w:type="dxa" w:w="217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Período</w:t>
            </w:r>
          </w:p>
        </w:tc>
        <w:tc>
          <w:tcPr>
            <w:tcW w:type="dxa" w:w="5968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Foco principal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</w:t>
            </w:r>
          </w:p>
        </w:tc>
        <w:tc>
          <w:tcPr>
            <w:tcW w:type="dxa" w:w="21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26–27/05</w:t>
            </w:r>
          </w:p>
        </w:tc>
        <w:tc>
          <w:tcPr>
            <w:tcW w:type="dxa" w:w="596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Fundação do projeto: estrutura, configuração, segurança e banco</w:t>
            </w:r>
          </w:p>
        </w:tc>
      </w:tr>
      <w:tr>
        <w:trPr>
          <w:cantSplit/>
        </w:trPr>
        <w:tc>
          <w:tcPr>
            <w:tcW w:type="dxa" w:w="12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</w:t>
            </w:r>
          </w:p>
        </w:tc>
        <w:tc>
          <w:tcPr>
            <w:tcW w:type="dxa" w:w="21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28/05–02/06</w:t>
            </w:r>
          </w:p>
        </w:tc>
        <w:tc>
          <w:tcPr>
            <w:tcW w:type="dxa" w:w="596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Domínio (regras) e construção do front-end; laudo em PDF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2</w:t>
            </w:r>
          </w:p>
        </w:tc>
        <w:tc>
          <w:tcPr>
            <w:tcW w:type="dxa" w:w="21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07–08/06</w:t>
            </w:r>
          </w:p>
        </w:tc>
        <w:tc>
          <w:tcPr>
            <w:tcW w:type="dxa" w:w="596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Integração e construção do back-end em arquitetura hexagonal</w:t>
            </w:r>
          </w:p>
        </w:tc>
      </w:tr>
      <w:tr>
        <w:trPr>
          <w:cantSplit/>
        </w:trPr>
        <w:tc>
          <w:tcPr>
            <w:tcW w:type="dxa" w:w="12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3</w:t>
            </w:r>
          </w:p>
        </w:tc>
        <w:tc>
          <w:tcPr>
            <w:tcW w:type="dxa" w:w="21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09–11/06</w:t>
            </w:r>
          </w:p>
        </w:tc>
        <w:tc>
          <w:tcPr>
            <w:tcW w:type="dxa" w:w="596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Consolidação clínica, gestão e preparação para implantação</w:t>
            </w:r>
          </w:p>
        </w:tc>
      </w:tr>
      <w:tr>
        <w:trPr>
          <w:cantSplit/>
        </w:trPr>
        <w:tc>
          <w:tcPr>
            <w:tcW w:type="dxa" w:w="12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4</w:t>
            </w:r>
          </w:p>
        </w:tc>
        <w:tc>
          <w:tcPr>
            <w:tcW w:type="dxa" w:w="217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12/06</w:t>
            </w:r>
          </w:p>
        </w:tc>
        <w:tc>
          <w:tcPr>
            <w:tcW w:type="dxa" w:w="5968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Recursos finais, relatórios e organização da documentação</w:t>
            </w:r>
          </w:p>
        </w:tc>
      </w:tr>
      <w:tr>
        <w:trPr>
          <w:cantSplit/>
        </w:trPr>
        <w:tc>
          <w:tcPr>
            <w:tcW w:type="dxa" w:w="12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5</w:t>
            </w:r>
          </w:p>
        </w:tc>
        <w:tc>
          <w:tcPr>
            <w:tcW w:type="dxa" w:w="217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13/06</w:t>
            </w:r>
          </w:p>
        </w:tc>
        <w:tc>
          <w:tcPr>
            <w:tcW w:type="dxa" w:w="5968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Documentação formal, Hub de Links e refinamentos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3. Detalhamento dos sprints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Sprint 0 — Fundação do projeto (26–27 de maio)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Estabelecimento da base técnica do projeto.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Estrutura inicial do repositório e do pacote da aplicação.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Definição das dependências e do sistema de build (</w:t>
      </w:r>
      <w:r>
        <w:rPr>
          <w:rFonts w:ascii="Consolas" w:hAnsi="Consolas"/>
          <w:color w:val="1F1F1F"/>
          <w:sz w:val="19"/>
          <w:shd w:val="clear" w:color="auto" w:fill="F4F4F4"/>
        </w:rPr>
        <w:t>pyproject.toml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Configuração tipada da aplicação (classe </w:t>
      </w:r>
      <w:r>
        <w:rPr>
          <w:rFonts w:ascii="Consolas" w:hAnsi="Consolas"/>
          <w:color w:val="1F1F1F"/>
          <w:sz w:val="19"/>
          <w:shd w:val="clear" w:color="auto" w:fill="F4F4F4"/>
        </w:rPr>
        <w:t>Settings</w:t>
      </w:r>
      <w:r>
        <w:rPr>
          <w:rFonts w:ascii="Calibri" w:hAnsi="Calibri"/>
          <w:b w:val="0"/>
          <w:i w:val="0"/>
          <w:color w:val="0A0A0A"/>
          <w:sz w:val="21"/>
        </w:rPr>
        <w:t>) e modelo de variáveis de ambiente (</w:t>
      </w:r>
      <w:r>
        <w:rPr>
          <w:rFonts w:ascii="Consolas" w:hAnsi="Consolas"/>
          <w:color w:val="1F1F1F"/>
          <w:sz w:val="19"/>
          <w:shd w:val="clear" w:color="auto" w:fill="F4F4F4"/>
        </w:rPr>
        <w:t>.env.example</w:t>
      </w:r>
      <w:r>
        <w:rPr>
          <w:rFonts w:ascii="Calibri" w:hAnsi="Calibri"/>
          <w:b w:val="0"/>
          <w:i w:val="0"/>
          <w:color w:val="0A0A0A"/>
          <w:sz w:val="21"/>
        </w:rPr>
        <w:t>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Hierarquia de exceções de domínio.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Mecanismo de </w:t>
      </w:r>
      <w:r>
        <w:rPr>
          <w:rFonts w:ascii="Calibri" w:hAnsi="Calibri"/>
          <w:b/>
          <w:color w:val="0A0A0A"/>
          <w:sz w:val="21"/>
        </w:rPr>
        <w:t>autenticação por JWT</w:t>
      </w:r>
      <w:r>
        <w:rPr>
          <w:rFonts w:ascii="Calibri" w:hAnsi="Calibri"/>
          <w:b w:val="0"/>
          <w:i w:val="0"/>
          <w:color w:val="0A0A0A"/>
          <w:sz w:val="21"/>
        </w:rPr>
        <w:t xml:space="preserve"> (emissão e verificação de token, implementados com a biblioteca padrão).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Camada de banco de dados</w:t>
      </w:r>
      <w:r>
        <w:rPr>
          <w:rFonts w:ascii="Calibri" w:hAnsi="Calibri"/>
          <w:b w:val="0"/>
          <w:i w:val="0"/>
          <w:color w:val="0A0A0A"/>
          <w:sz w:val="21"/>
        </w:rPr>
        <w:t xml:space="preserve"> assíncrona: engine, fábrica de sessões e injeção da chave de criptografia por sessão.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Commits de destaque:</w:t>
      </w:r>
      <w:r>
        <w:rPr>
          <w:rFonts w:ascii="Calibri" w:hAnsi="Calibri"/>
          <w:b w:val="0"/>
          <w:i w:val="0"/>
          <w:color w:val="0A0A0A"/>
          <w:sz w:val="21"/>
        </w:rPr>
        <w:t xml:space="preserve"> estrutura inicial; </w:t>
      </w:r>
      <w:r>
        <w:rPr>
          <w:rFonts w:ascii="Consolas" w:hAnsi="Consolas"/>
          <w:color w:val="1F1F1F"/>
          <w:sz w:val="19"/>
          <w:shd w:val="clear" w:color="auto" w:fill="F4F4F4"/>
        </w:rPr>
        <w:t>Settings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onsolas" w:hAnsi="Consolas"/>
          <w:color w:val="1F1F1F"/>
          <w:sz w:val="19"/>
          <w:shd w:val="clear" w:color="auto" w:fill="F4F4F4"/>
        </w:rPr>
        <w:t>get_settings()</w:t>
      </w:r>
      <w:r>
        <w:rPr>
          <w:rFonts w:ascii="Calibri" w:hAnsi="Calibri"/>
          <w:b w:val="0"/>
          <w:i w:val="0"/>
          <w:color w:val="0A0A0A"/>
          <w:sz w:val="21"/>
        </w:rPr>
        <w:t xml:space="preserve">; hierarquia de exceções; </w:t>
      </w:r>
      <w:r>
        <w:rPr>
          <w:rFonts w:ascii="Consolas" w:hAnsi="Consolas"/>
          <w:color w:val="1F1F1F"/>
          <w:sz w:val="19"/>
          <w:shd w:val="clear" w:color="auto" w:fill="F4F4F4"/>
        </w:rPr>
        <w:t>security.py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(JWT); engine assíncrona e injeção da </w:t>
      </w:r>
      <w:r>
        <w:rPr>
          <w:rFonts w:ascii="Consolas" w:hAnsi="Consolas"/>
          <w:color w:val="1F1F1F"/>
          <w:sz w:val="19"/>
          <w:shd w:val="clear" w:color="auto" w:fill="F4F4F4"/>
        </w:rPr>
        <w:t>pgp_key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Sprint 1 — Domínio e front-end (28 de maio a 02 de junho)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Modelagem das regras de negócio e construção da interface.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Objeto de valor `CPF`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validação, hash e proteção de privacidade (o CPF nunca é armazenado em texto).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Entidades e enumerações do domínio (sintomas, usuário).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Front-end implementado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as páginas Login, Dashboard, Agenda, Configurações, Triagem e Pacientes, além dos componentes compartilhados (Base, Calendário, Logo, Sidebar, alternador de tema e Topbar).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Geração do laudo em PDF</w:t>
      </w:r>
      <w:r>
        <w:rPr>
          <w:rFonts w:ascii="Calibri" w:hAnsi="Calibri"/>
          <w:b w:val="0"/>
          <w:i w:val="0"/>
          <w:color w:val="0A0A0A"/>
          <w:sz w:val="21"/>
        </w:rPr>
        <w:t xml:space="preserve"> a partir dos dados da triagem, acionada pelo botão "gerar laudo".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Commits de destaque:</w:t>
      </w:r>
      <w:r>
        <w:rPr>
          <w:rFonts w:ascii="Calibri" w:hAnsi="Calibri"/>
          <w:b w:val="0"/>
          <w:i w:val="0"/>
          <w:color w:val="0A0A0A"/>
          <w:sz w:val="21"/>
        </w:rPr>
        <w:t xml:space="preserve"> objeto de valor </w:t>
      </w:r>
      <w:r>
        <w:rPr>
          <w:rFonts w:ascii="Consolas" w:hAnsi="Consolas"/>
          <w:color w:val="1F1F1F"/>
          <w:sz w:val="19"/>
          <w:shd w:val="clear" w:color="auto" w:fill="F4F4F4"/>
        </w:rPr>
        <w:t>CPF</w:t>
      </w:r>
      <w:r>
        <w:rPr>
          <w:rFonts w:ascii="Calibri" w:hAnsi="Calibri"/>
          <w:b w:val="0"/>
          <w:i w:val="0"/>
          <w:color w:val="0A0A0A"/>
          <w:sz w:val="21"/>
        </w:rPr>
        <w:t>; entidades de domínio; implementação das páginas do front-end; função de geração do laudo em PDF.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Sprint 2 — Integração e back-end hexagonal (07 e 08 de junho)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Período de maior volume de construção do servidor.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Integração inicial do front-end ao banco (Supabase).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Construção da </w:t>
      </w:r>
      <w:r>
        <w:rPr>
          <w:rFonts w:ascii="Calibri" w:hAnsi="Calibri"/>
          <w:b/>
          <w:color w:val="0A0A0A"/>
          <w:sz w:val="21"/>
        </w:rPr>
        <w:t>arquitetura hexagonal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back-end: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Entidades de domínio (Paciente, Avaliação, Checklist, Acompanhante) e contratos de repositório.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Casos de uso</w:t>
      </w:r>
      <w:r>
        <w:rPr>
          <w:rFonts w:ascii="Calibri" w:hAnsi="Calibri"/>
          <w:b w:val="0"/>
          <w:i w:val="0"/>
          <w:color w:val="0A0A0A"/>
          <w:sz w:val="21"/>
        </w:rPr>
        <w:t xml:space="preserve">: cadastro de paciente, histórico, listagem (com paginação e hash de CPF), estatísticas do dashboard com </w:t>
      </w:r>
      <w:r>
        <w:rPr>
          <w:rFonts w:ascii="Calibri" w:hAnsi="Calibri"/>
          <w:b/>
          <w:color w:val="0A0A0A"/>
          <w:sz w:val="21"/>
        </w:rPr>
        <w:t>k-anonimato (LGPD)</w:t>
      </w:r>
      <w:r>
        <w:rPr>
          <w:rFonts w:ascii="Calibri" w:hAnsi="Calibri"/>
          <w:b w:val="0"/>
          <w:i w:val="0"/>
          <w:color w:val="0A0A0A"/>
          <w:sz w:val="21"/>
        </w:rPr>
        <w:t xml:space="preserve"> e o orquestrador de cálculo de score.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Repositórios</w:t>
      </w:r>
      <w:r>
        <w:rPr>
          <w:rFonts w:ascii="Calibri" w:hAnsi="Calibri"/>
          <w:b w:val="0"/>
          <w:i w:val="0"/>
          <w:color w:val="0A0A0A"/>
          <w:sz w:val="21"/>
        </w:rPr>
        <w:t xml:space="preserve"> de escrita e leitura.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Serviço de autenticação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proteção contra força bruta.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Schemas de validação, routers HTTP e o </w:t>
      </w:r>
      <w:r>
        <w:rPr>
          <w:rFonts w:ascii="Consolas" w:hAnsi="Consolas"/>
          <w:color w:val="1F1F1F"/>
          <w:sz w:val="19"/>
          <w:shd w:val="clear" w:color="auto" w:fill="F4F4F4"/>
        </w:rPr>
        <w:t>main.py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(raiz de composição).</w:t>
      </w:r>
    </w:p>
    <w:p>
      <w:pPr>
        <w:spacing w:after="60"/>
        <w:ind w:left="864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Integração entre banco, back-end e front-end.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Commits de destaque:</w:t>
      </w:r>
      <w:r>
        <w:rPr>
          <w:rFonts w:ascii="Calibri" w:hAnsi="Calibri"/>
          <w:b w:val="0"/>
          <w:i w:val="0"/>
          <w:color w:val="0A0A0A"/>
          <w:sz w:val="21"/>
        </w:rPr>
        <w:t xml:space="preserve"> entidades e ports; DTOs e casos de uso; repositórios; </w:t>
      </w:r>
      <w:r>
        <w:rPr>
          <w:rFonts w:ascii="Consolas" w:hAnsi="Consolas"/>
          <w:color w:val="1F1F1F"/>
          <w:sz w:val="19"/>
          <w:shd w:val="clear" w:color="auto" w:fill="F4F4F4"/>
        </w:rPr>
        <w:t>AuthService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anti-força-bruta; schemas e routers; </w:t>
      </w:r>
      <w:r>
        <w:rPr>
          <w:rFonts w:ascii="Consolas" w:hAnsi="Consolas"/>
          <w:color w:val="1F1F1F"/>
          <w:sz w:val="19"/>
          <w:shd w:val="clear" w:color="auto" w:fill="F4F4F4"/>
        </w:rPr>
        <w:t>main.py</w:t>
      </w:r>
      <w:r>
        <w:rPr>
          <w:rFonts w:ascii="Calibri" w:hAnsi="Calibri"/>
          <w:b w:val="0"/>
          <w:i w:val="0"/>
          <w:color w:val="0A0A0A"/>
          <w:sz w:val="21"/>
        </w:rPr>
        <w:t>; integração db/back/front.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Sprint 3 — Consolidação clínica e operacional (09 a 11 de junho)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Amadurecimento das funcionalidades e preparação para implantar.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Triagem com </w:t>
      </w:r>
      <w:r>
        <w:rPr>
          <w:rFonts w:ascii="Calibri" w:hAnsi="Calibri"/>
          <w:b/>
          <w:color w:val="0A0A0A"/>
          <w:sz w:val="21"/>
        </w:rPr>
        <w:t>paciente já existente</w:t>
      </w:r>
      <w:r>
        <w:rPr>
          <w:rFonts w:ascii="Calibri" w:hAnsi="Calibri"/>
          <w:b w:val="0"/>
          <w:i w:val="0"/>
          <w:color w:val="0A0A0A"/>
          <w:sz w:val="21"/>
        </w:rPr>
        <w:t>, seleção de acompanhante e exibição do nome completo ao médico responsável.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Ficha completa do paciente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prontuário.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Reimpressão de laudo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alibri" w:hAnsi="Calibri"/>
          <w:b/>
          <w:color w:val="0A0A0A"/>
          <w:sz w:val="21"/>
        </w:rPr>
        <w:t>gestão de usuários</w:t>
      </w:r>
      <w:r>
        <w:rPr>
          <w:rFonts w:ascii="Calibri" w:hAnsi="Calibri"/>
          <w:b w:val="0"/>
          <w:i w:val="0"/>
          <w:color w:val="0A0A0A"/>
          <w:sz w:val="21"/>
        </w:rPr>
        <w:t xml:space="preserve">, </w:t>
      </w:r>
      <w:r>
        <w:rPr>
          <w:rFonts w:ascii="Calibri" w:hAnsi="Calibri"/>
          <w:b/>
          <w:color w:val="0A0A0A"/>
          <w:sz w:val="21"/>
        </w:rPr>
        <w:t>arquivar/excluir paciente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e </w:t>
      </w:r>
      <w:r>
        <w:rPr>
          <w:rFonts w:ascii="Calibri" w:hAnsi="Calibri"/>
          <w:b/>
          <w:color w:val="0A0A0A"/>
          <w:sz w:val="21"/>
        </w:rPr>
        <w:t>editar/excluir compromissos da agenda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Substituição do script </w:t>
      </w:r>
      <w:r>
        <w:rPr>
          <w:rFonts w:ascii="Consolas" w:hAnsi="Consolas"/>
          <w:color w:val="1F1F1F"/>
          <w:sz w:val="19"/>
          <w:shd w:val="clear" w:color="auto" w:fill="F4F4F4"/>
        </w:rPr>
        <w:t>start.bat</w:t>
      </w:r>
      <w:r>
        <w:rPr>
          <w:rFonts w:ascii="Calibri" w:hAnsi="Calibri"/>
          <w:b w:val="0"/>
          <w:i w:val="0"/>
          <w:color w:val="0A0A0A"/>
          <w:sz w:val="21"/>
        </w:rPr>
        <w:t xml:space="preserve"> pelo </w:t>
      </w:r>
      <w:r>
        <w:rPr>
          <w:rFonts w:ascii="Calibri" w:hAnsi="Calibri"/>
          <w:b/>
          <w:color w:val="0A0A0A"/>
          <w:sz w:val="21"/>
        </w:rPr>
        <w:t>`run.py` multiplataforma</w:t>
      </w:r>
      <w:r>
        <w:rPr>
          <w:rFonts w:ascii="Calibri" w:hAnsi="Calibri"/>
          <w:b w:val="0"/>
          <w:i w:val="0"/>
          <w:color w:val="0A0A0A"/>
          <w:sz w:val="21"/>
        </w:rPr>
        <w:t xml:space="preserve"> (inicialização automática).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Preparação para implantação: </w:t>
      </w:r>
      <w:r>
        <w:rPr>
          <w:rFonts w:ascii="Consolas" w:hAnsi="Consolas"/>
          <w:color w:val="1F1F1F"/>
          <w:sz w:val="19"/>
          <w:shd w:val="clear" w:color="auto" w:fill="F4F4F4"/>
        </w:rPr>
        <w:t>requirements.txt</w:t>
      </w:r>
      <w:r>
        <w:rPr>
          <w:rFonts w:ascii="Calibri" w:hAnsi="Calibri"/>
          <w:b w:val="0"/>
          <w:i w:val="0"/>
          <w:color w:val="0A0A0A"/>
          <w:sz w:val="21"/>
        </w:rPr>
        <w:t>, Gunicorn, o back-end passando a servir o front-end, e correções no endereço da API.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Parâmetros de score</w:t>
      </w:r>
      <w:r>
        <w:rPr>
          <w:rFonts w:ascii="Calibri" w:hAnsi="Calibri"/>
          <w:b w:val="0"/>
          <w:i w:val="0"/>
          <w:color w:val="0A0A0A"/>
          <w:sz w:val="21"/>
        </w:rPr>
        <w:t xml:space="preserve"> ajustados, PDF atualizado e correções no fluxo de acompanhante.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Finalização das telas de Configurações.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Commits de destaque:</w:t>
      </w:r>
      <w:r>
        <w:rPr>
          <w:rFonts w:ascii="Calibri" w:hAnsi="Calibri"/>
          <w:b w:val="0"/>
          <w:i w:val="0"/>
          <w:color w:val="0A0A0A"/>
          <w:sz w:val="21"/>
        </w:rPr>
        <w:t xml:space="preserve"> triagem com paciente existente; reimpressão de laudo e gestão de usuários; </w:t>
      </w:r>
      <w:r>
        <w:rPr>
          <w:rFonts w:ascii="Consolas" w:hAnsi="Consolas"/>
          <w:color w:val="1F1F1F"/>
          <w:sz w:val="19"/>
          <w:shd w:val="clear" w:color="auto" w:fill="F4F4F4"/>
        </w:rPr>
        <w:t>run.py</w:t>
      </w:r>
      <w:r>
        <w:rPr>
          <w:rFonts w:ascii="Calibri" w:hAnsi="Calibri"/>
          <w:b w:val="0"/>
          <w:i w:val="0"/>
          <w:color w:val="0A0A0A"/>
          <w:sz w:val="21"/>
        </w:rPr>
        <w:t xml:space="preserve"> multiplataforma; parâmetros de score e PDF.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Sprint 4 — Recursos finais, relatórios e organização (12 de junho)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Upload de foto</w:t>
      </w:r>
      <w:r>
        <w:rPr>
          <w:rFonts w:ascii="Calibri" w:hAnsi="Calibri"/>
          <w:b w:val="0"/>
          <w:i w:val="0"/>
          <w:color w:val="0A0A0A"/>
          <w:sz w:val="21"/>
        </w:rPr>
        <w:t xml:space="preserve"> do paciente e correções associadas (incluindo a "tela branca").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Limpeza de código e remoção de arquivos desnecessários.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Relatórios com filtros</w:t>
      </w:r>
      <w:r>
        <w:rPr>
          <w:rFonts w:ascii="Calibri" w:hAnsi="Calibri"/>
          <w:b w:val="0"/>
          <w:i w:val="0"/>
          <w:color w:val="0A0A0A"/>
          <w:sz w:val="21"/>
        </w:rPr>
        <w:t xml:space="preserve"> e exportação em PDF; edição de paciente; telefone do paciente; exibição do nome do usuário logado.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Organização da documentação: pasta de banco de dados, vault de arquitetura (Obsidian) e reestruturação das pastas.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Apresentação do projeto atualizada com vídeos.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Commits de destaque:</w:t>
      </w:r>
      <w:r>
        <w:rPr>
          <w:rFonts w:ascii="Calibri" w:hAnsi="Calibri"/>
          <w:b w:val="0"/>
          <w:i w:val="0"/>
          <w:color w:val="0A0A0A"/>
          <w:sz w:val="21"/>
        </w:rPr>
        <w:t xml:space="preserve"> upload de foto; filtros e PDF nos relatórios; organização das pastas de documentação; documentação de banco atualizada.</w:t>
      </w:r>
    </w:p>
    <w:p>
      <w:pPr>
        <w:keepNext/>
        <w:keepLines/>
        <w:spacing w:before="240" w:after="140"/>
        <w:widowControl w:val="true"/>
        <w:pBdr>
          <w:bottom w:val="single" w:sz="4" w:space="4" w:color="BFBFBF"/>
        </w:pBdr>
      </w:pPr>
      <w:r>
        <w:rPr>
          <w:rFonts w:ascii="Calibri" w:hAnsi="Calibri"/>
          <w:b/>
          <w:i w:val="0"/>
          <w:color w:val="0A0A0A"/>
          <w:sz w:val="27"/>
        </w:rPr>
        <w:t>Sprint 5 — Documentação formal e Hub (13 de junho)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/>
          <w:color w:val="0A0A0A"/>
          <w:sz w:val="21"/>
        </w:rPr>
        <w:t>Edição de acompanhante</w:t>
      </w:r>
      <w:r>
        <w:rPr>
          <w:rFonts w:ascii="Calibri" w:hAnsi="Calibri"/>
          <w:b w:val="0"/>
          <w:i w:val="0"/>
          <w:color w:val="0A0A0A"/>
          <w:sz w:val="21"/>
        </w:rPr>
        <w:t xml:space="preserve"> no prontuário e </w:t>
      </w:r>
      <w:r>
        <w:rPr>
          <w:rFonts w:ascii="Calibri" w:hAnsi="Calibri"/>
          <w:b/>
          <w:color w:val="0A0A0A"/>
          <w:sz w:val="21"/>
        </w:rPr>
        <w:t>opção de excluir triagem</w:t>
      </w:r>
      <w:r>
        <w:rPr>
          <w:rFonts w:ascii="Calibri" w:hAnsi="Calibri"/>
          <w:b w:val="0"/>
          <w:i w:val="0"/>
          <w:color w:val="0A0A0A"/>
          <w:sz w:val="21"/>
        </w:rPr>
        <w:t>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Criação do </w:t>
      </w:r>
      <w:r>
        <w:rPr>
          <w:rFonts w:ascii="Calibri" w:hAnsi="Calibri"/>
          <w:b/>
          <w:color w:val="0A0A0A"/>
          <w:sz w:val="21"/>
        </w:rPr>
        <w:t>Hub de Links</w:t>
      </w:r>
      <w:r>
        <w:rPr>
          <w:rFonts w:ascii="Calibri" w:hAnsi="Calibri"/>
          <w:b w:val="0"/>
          <w:i w:val="0"/>
          <w:color w:val="0A0A0A"/>
          <w:sz w:val="21"/>
        </w:rPr>
        <w:t xml:space="preserve"> (central de acesso rápido aos recursos do projeto).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README transformado em </w:t>
      </w:r>
      <w:r>
        <w:rPr>
          <w:rFonts w:ascii="Calibri" w:hAnsi="Calibri"/>
          <w:b/>
          <w:color w:val="0A0A0A"/>
          <w:sz w:val="21"/>
        </w:rPr>
        <w:t>tutorial de uso</w:t>
      </w:r>
      <w:r>
        <w:rPr>
          <w:rFonts w:ascii="Calibri" w:hAnsi="Calibri"/>
          <w:b w:val="0"/>
          <w:i w:val="0"/>
          <w:color w:val="0A0A0A"/>
          <w:sz w:val="21"/>
        </w:rPr>
        <w:t xml:space="preserve"> com banner, e posterior padronização.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 xml:space="preserve">Consolidação do conjunto de </w:t>
      </w:r>
      <w:r>
        <w:rPr>
          <w:rFonts w:ascii="Calibri" w:hAnsi="Calibri"/>
          <w:b/>
          <w:color w:val="0A0A0A"/>
          <w:sz w:val="21"/>
        </w:rPr>
        <w:t>documentos formais</w:t>
      </w:r>
      <w:r>
        <w:rPr>
          <w:rFonts w:ascii="Calibri" w:hAnsi="Calibri"/>
          <w:b w:val="0"/>
          <w:i w:val="0"/>
          <w:color w:val="0A0A0A"/>
          <w:sz w:val="21"/>
        </w:rPr>
        <w:t>: Manual de Arquitetura, Regras de Negócio, Guia de Instalação e Setup, Guia de Execução Local, Documentação do Banco de Dados e o Manual de Uso.</w:t>
      </w:r>
    </w:p>
    <w:p>
      <w:pPr>
        <w:spacing w:after="140"/>
        <w:jc w:val="both"/>
        <w:widowControl w:val="true"/>
      </w:pPr>
      <w:r>
        <w:rPr>
          <w:rFonts w:ascii="Calibri" w:hAnsi="Calibri"/>
          <w:b/>
          <w:color w:val="0A0A0A"/>
          <w:sz w:val="21"/>
        </w:rPr>
        <w:t>Commits de destaque:</w:t>
      </w:r>
      <w:r>
        <w:rPr>
          <w:rFonts w:ascii="Calibri" w:hAnsi="Calibri"/>
          <w:b w:val="0"/>
          <w:i w:val="0"/>
          <w:color w:val="0A0A0A"/>
          <w:sz w:val="21"/>
        </w:rPr>
        <w:t xml:space="preserve"> edição de acompanhante; excluir triagem; Hub de Links; README e documentação formal.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4. Funcionalidades entregues (consolidado)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Ao final do período, o sistema reúne as seguintes funcionalidades: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type="dxa" w:w="9360"/>
        <w:tblCellMar>
          <w:top w:w="40" w:type="dxa"/>
          <w:bottom w:w="40" w:type="dxa"/>
          <w:left w:w="90" w:type="dxa"/>
          <w:right w:w="90" w:type="dxa"/>
        </w:tblCellMar>
      </w:tblPr>
      <w:tblGrid>
        <w:gridCol w:w="2340"/>
        <w:gridCol w:w="7020"/>
      </w:tblGrid>
      <w:tr>
        <w:trPr>
          <w:tblHeader/>
          <w:cantSplit/>
        </w:trPr>
        <w:tc>
          <w:tcPr>
            <w:tcW w:type="dxa" w:w="234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Área</w:t>
            </w:r>
          </w:p>
        </w:tc>
        <w:tc>
          <w:tcPr>
            <w:tcW w:type="dxa" w:w="7020"/>
            <w:shd w:val="clear" w:color="auto" w:fill="1F1F1F"/>
          </w:tcPr>
          <w:p>
            <w:pPr>
              <w:spacing w:after="20" w:before="2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Funcionalidades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Acesso</w:t>
            </w:r>
          </w:p>
        </w:tc>
        <w:tc>
          <w:tcPr>
            <w:tcW w:type="dxa" w:w="70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Login com sessão, proteção contra força bruta, perfis de médico e administrador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Pacientes</w:t>
            </w:r>
          </w:p>
        </w:tc>
        <w:tc>
          <w:tcPr>
            <w:tcW w:type="dxa" w:w="70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Cadastro, edição, listagem com busca, prontuário completo, foto, arquivar e excluir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Triagem</w:t>
            </w:r>
          </w:p>
        </w:tc>
        <w:tc>
          <w:tcPr>
            <w:tcW w:type="dxa" w:w="70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Checklist de sinais, histórico familiar, cálculo de score, recomendação de exame e exclusão de triagem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Laudo</w:t>
            </w:r>
          </w:p>
        </w:tc>
        <w:tc>
          <w:tcPr>
            <w:tcW w:type="dxa" w:w="70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Geração e reimpressão do laudo em PDF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Agenda</w:t>
            </w:r>
          </w:p>
        </w:tc>
        <w:tc>
          <w:tcPr>
            <w:tcW w:type="dxa" w:w="70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Criação, edição e cancelamento de compromissos; reagendamento pela visão geral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Relatórios</w:t>
            </w:r>
          </w:p>
        </w:tc>
        <w:tc>
          <w:tcPr>
            <w:tcW w:type="dxa" w:w="70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Gráficos de atividade com filtros e exportação em PDF</w:t>
            </w:r>
          </w:p>
        </w:tc>
      </w:tr>
      <w:tr>
        <w:trPr>
          <w:cantSplit/>
        </w:trPr>
        <w:tc>
          <w:tcPr>
            <w:tcW w:type="dxa" w:w="234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Administração</w:t>
            </w:r>
          </w:p>
        </w:tc>
        <w:tc>
          <w:tcPr>
            <w:tcW w:type="dxa" w:w="7020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Gestão de usuários (médicos) pelo administrador</w:t>
            </w:r>
          </w:p>
        </w:tc>
      </w:tr>
      <w:tr>
        <w:trPr>
          <w:cantSplit/>
        </w:trPr>
        <w:tc>
          <w:tcPr>
            <w:tcW w:type="dxa" w:w="234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Segurança/LGPD</w:t>
            </w:r>
          </w:p>
        </w:tc>
        <w:tc>
          <w:tcPr>
            <w:tcW w:type="dxa" w:w="7020"/>
            <w:shd w:val="clear" w:color="auto" w:fill="F7F7F7"/>
          </w:tcPr>
          <w:p>
            <w:pPr>
              <w:spacing w:after="40" w:before="20"/>
            </w:pPr>
            <w:r>
              <w:rPr>
                <w:rFonts w:ascii="Calibri" w:hAnsi="Calibri"/>
                <w:b w:val="0"/>
                <w:i w:val="0"/>
                <w:color w:val="0A0A0A"/>
                <w:sz w:val="19"/>
              </w:rPr>
              <w:t>Criptografia de dados pessoais, isolamento por profissional e k-anonimato nas estatísticas</w:t>
            </w:r>
          </w:p>
        </w:tc>
      </w:tr>
    </w:tbl>
    <w:p>
      <w:pPr>
        <w:spacing w:after="40" w:before="0"/>
      </w:pP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5. Documentação produzida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Além do código, o projeto produziu um conjunto de documentos: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Manual de Arquitetura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Regras de Negócio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Guia de Instalação e Setup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Guia de Execução Local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Documentação do Banco de Dados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Manual de Uso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Hub de Links (central de acesso)</w:t>
      </w:r>
    </w:p>
    <w:p>
      <w:pPr>
        <w:spacing w:after="60"/>
        <w:ind w:left="461" w:hanging="288"/>
        <w:widowControl w:val="true"/>
      </w:pPr>
      <w:r>
        <w:rPr>
          <w:rFonts w:ascii="Calibri" w:hAnsi="Calibri"/>
          <w:b w:val="0"/>
          <w:color w:val="1F1F1F"/>
          <w:sz w:val="21"/>
        </w:rPr>
        <w:t>•</w:t>
        <w:tab/>
      </w:r>
      <w:r>
        <w:rPr>
          <w:rFonts w:ascii="Calibri" w:hAnsi="Calibri"/>
          <w:b w:val="0"/>
          <w:i w:val="0"/>
          <w:color w:val="0A0A0A"/>
          <w:sz w:val="21"/>
        </w:rPr>
        <w:t>Esta Ata de Registro de Desenvolvimento</w:t>
      </w:r>
    </w:p>
    <w:p>
      <w:pPr>
        <w:keepNext/>
        <w:keepLines/>
        <w:spacing w:before="360" w:after="140"/>
        <w:widowControl w:val="true"/>
        <w:pBdr>
          <w:bottom w:val="single" w:sz="8" w:space="4" w:color="1F1F1F"/>
        </w:pBdr>
      </w:pPr>
      <w:r>
        <w:rPr>
          <w:rFonts w:ascii="Calibri" w:hAnsi="Calibri"/>
          <w:b/>
          <w:i w:val="0"/>
          <w:color w:val="0A0A0A"/>
          <w:sz w:val="34"/>
        </w:rPr>
        <w:t>6. Encerramento</w:t>
      </w:r>
    </w:p>
    <w:p>
      <w:pPr>
        <w:spacing w:after="140"/>
        <w:jc w:val="both"/>
        <w:widowControl w:val="true"/>
      </w:pPr>
      <w:r>
        <w:rPr>
          <w:rFonts w:ascii="Calibri" w:hAnsi="Calibri"/>
          <w:b w:val="0"/>
          <w:i w:val="0"/>
          <w:color w:val="0A0A0A"/>
          <w:sz w:val="21"/>
        </w:rPr>
        <w:t>Esta ata registra, de forma resumida, o percurso de desenvolvimento do CITO ao longo de 109 commits, entre 26 de maio e 13 de junho de 2026, contemplando desde a fundação técnica do projeto até a entrega do sistema em produção (citosina.com.br) e da documentação de apoio. O histórico completo e detalhado permanece disponível no versionamento do repositório.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D9D9D9"/>
      </w:pBdr>
    </w:pPr>
    <w:r/>
    <w:r>
      <w:rPr>
        <w:rFonts w:ascii="Calibri" w:hAnsi="Calibri"/>
        <w:color w:val="8A8A8A"/>
        <w:sz w:val="16"/>
      </w:rPr>
      <w:t>Ata de Registro de Desenvolvimento</w:t>
    </w:r>
    <w:r>
      <w:rPr>
        <w:sz w:val="16"/>
      </w:rPr>
      <w:tab/>
    </w:r>
    <w:r>
      <w:rPr>
        <w:color w:val="5A5A5A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