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Manual de Arquitetura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Sistema CITO — Ferramenta de Pré-diagnóstico da Síndrome do X Frágil</w:t>
      </w:r>
    </w:p>
    <w:p>
      <w:pPr>
        <w:jc w:val="both"/>
      </w:pPr>
      <w:r>
        <w:rPr>
          <w:color w:val="0A0A0A"/>
          <w:sz w:val="21"/>
        </w:rPr>
        <w:t>Documento técnico de arquitetura de software. Descreve a organização do sistema CITO em suas três camadas físicas, a arquitetura hexagonal interna do back-end, a arquitetura do front-end (derivada da análise do código-fonte), o modelo de dados e as decisões de projeto que sustentam a solução.</w:t>
      </w:r>
    </w:p>
    <w:p>
      <w:pPr>
        <w:jc w:val="both"/>
      </w:pPr>
      <w:r>
        <w:rPr>
          <w:color w:val="0A0A0A"/>
          <w:sz w:val="21"/>
        </w:rPr>
        <w:t>Versão do back-end: 0.1.0 · Versão do front-end: v2.1.4 · Banco: PostgreSQL 17.6 (Supabase)</w:t>
      </w:r>
    </w:p>
    <w:p>
      <w:r>
        <w:br w:type="page"/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1. Introdução</w:t>
      </w:r>
    </w:p>
    <w:p>
      <w:pPr>
        <w:jc w:val="both"/>
      </w:pPr>
      <w:r>
        <w:rPr>
          <w:color w:val="0A0A0A"/>
          <w:sz w:val="21"/>
        </w:rPr>
        <w:t xml:space="preserve">O CITO é uma ferramenta de </w:t>
      </w:r>
      <w:r>
        <w:rPr>
          <w:b/>
          <w:color w:val="0A0A0A"/>
          <w:sz w:val="21"/>
        </w:rPr>
        <w:t>pré-diagnóstico (triagem)</w:t>
      </w:r>
      <w:r>
        <w:rPr>
          <w:color w:val="0A0A0A"/>
          <w:sz w:val="21"/>
        </w:rPr>
        <w:t xml:space="preserve"> da Síndrome do X Frágil (SXF; em inglês, *Fragile X Syndrome*, FXS) destinada ao uso clínico. O sistema apoia o profissional de saúde no cadastro de pacientes, na aplicação de um checklist de sintomas com escore validado cientificamente, no encaminhamento automático para o teste genético do gene FMR1, na gestão de agenda e na emissão de relatórios. A proteção de dados pessoais sensíveis, em conformidade com a </w:t>
      </w:r>
      <w:r>
        <w:rPr>
          <w:b/>
          <w:color w:val="0A0A0A"/>
          <w:sz w:val="21"/>
        </w:rPr>
        <w:t>Lei Geral de Proteção de Dados (LGPD)</w:t>
      </w:r>
      <w:r>
        <w:rPr>
          <w:color w:val="0A0A0A"/>
          <w:sz w:val="21"/>
        </w:rPr>
        <w:t>, é um requisito de primeira ordem que permeia toda a pilha.</w:t>
      </w:r>
    </w:p>
    <w:p>
      <w:pPr>
        <w:jc w:val="both"/>
      </w:pPr>
      <w:r>
        <w:rPr>
          <w:color w:val="0A0A0A"/>
          <w:sz w:val="21"/>
        </w:rPr>
        <w:t xml:space="preserve">É importante delimitar o escopo clínico: o CITO </w:t>
      </w:r>
      <w:r>
        <w:rPr>
          <w:b/>
          <w:color w:val="0A0A0A"/>
          <w:sz w:val="21"/>
        </w:rPr>
        <w:t>não realiza diagnóstico</w:t>
      </w:r>
      <w:r>
        <w:rPr>
          <w:color w:val="0A0A0A"/>
          <w:sz w:val="21"/>
        </w:rPr>
        <w:t xml:space="preserve">. O diagnóstico definitivo da SXF é molecular (teste do gene FMR1). O sistema produz uma </w:t>
      </w:r>
      <w:r>
        <w:rPr>
          <w:b/>
          <w:color w:val="0A0A0A"/>
          <w:sz w:val="21"/>
        </w:rPr>
        <w:t>recomendação de encaminhamento</w:t>
      </w:r>
      <w:r>
        <w:rPr>
          <w:color w:val="0A0A0A"/>
          <w:sz w:val="21"/>
        </w:rPr>
        <w:t xml:space="preserve"> ao exame genético quando o escore de triagem ultrapassa um limiar calibrado por sexo. Por isso, o desfecho central do sistema é o indicador </w:t>
      </w:r>
      <w:r>
        <w:rPr>
          <w:rFonts w:ascii="Consolas" w:hAnsi="Consolas"/>
          <w:color w:val="1F1F1F"/>
          <w:sz w:val="19"/>
          <w:shd w:val="clear" w:fill="F2F2F2"/>
        </w:rPr>
        <w:t>recomenda_exame</w:t>
      </w:r>
      <w:r>
        <w:rPr>
          <w:color w:val="0A0A0A"/>
          <w:sz w:val="21"/>
        </w:rPr>
        <w:t>, e não um veredito diagnóstico.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1.1 Objetivo deste documento</w:t>
      </w:r>
    </w:p>
    <w:p>
      <w:pPr>
        <w:jc w:val="both"/>
      </w:pPr>
      <w:r>
        <w:rPr>
          <w:color w:val="0A0A0A"/>
          <w:sz w:val="21"/>
        </w:rPr>
        <w:t xml:space="preserve">Este manual descreve </w:t>
      </w:r>
      <w:r>
        <w:rPr>
          <w:b/>
          <w:color w:val="0A0A0A"/>
          <w:sz w:val="21"/>
        </w:rPr>
        <w:t>como o sistema é projetado</w:t>
      </w:r>
      <w:r>
        <w:rPr>
          <w:color w:val="0A0A0A"/>
          <w:sz w:val="21"/>
        </w:rPr>
        <w:t xml:space="preserve">: o particionamento em camadas, o raciocínio por trás das decisões de projeto, a forma de interação entre front-end e back-end, e onde residem as responsabilidades importantes no código. A documentação de arquitetura do back-end já existia no repositório, organizada como um cofre Obsidian em </w:t>
      </w:r>
      <w:r>
        <w:rPr>
          <w:rFonts w:ascii="Consolas" w:hAnsi="Consolas"/>
          <w:color w:val="1F1F1F"/>
          <w:sz w:val="19"/>
          <w:shd w:val="clear" w:fill="F2F2F2"/>
        </w:rPr>
        <w:t>docs/software architecture/</w:t>
      </w:r>
      <w:r>
        <w:rPr>
          <w:color w:val="0A0A0A"/>
          <w:sz w:val="21"/>
        </w:rPr>
        <w:t xml:space="preserve">, e serviu de fonte primária para os capítulos do back-end. O front-end não possuía documentação dedicada; sua arquitetura foi derivada da leitura direta do código-fonte em </w:t>
      </w:r>
      <w:r>
        <w:rPr>
          <w:rFonts w:ascii="Consolas" w:hAnsi="Consolas"/>
          <w:color w:val="1F1F1F"/>
          <w:sz w:val="19"/>
          <w:shd w:val="clear" w:fill="F2F2F2"/>
        </w:rPr>
        <w:t>frontend/</w:t>
      </w:r>
      <w:r>
        <w:rPr>
          <w:color w:val="0A0A0A"/>
          <w:sz w:val="21"/>
        </w:rPr>
        <w:t>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1.2 Fontes da verdade</w:t>
      </w:r>
    </w:p>
    <w:p>
      <w:pPr>
        <w:jc w:val="both"/>
      </w:pPr>
      <w:r>
        <w:rPr>
          <w:color w:val="0A0A0A"/>
          <w:sz w:val="21"/>
        </w:rPr>
        <w:t>O conteúdo deste documento foi sintetizado e verificado contra os artefatos reais do repositório. Em caso de divergência, o código-fonte prevalece. As fontes consultadas foram: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rFonts w:ascii="Consolas" w:hAnsi="Consolas"/>
          <w:color w:val="1F1F1F"/>
          <w:sz w:val="19"/>
          <w:shd w:val="clear" w:fill="F2F2F2"/>
        </w:rPr>
        <w:t>app/</w:t>
      </w:r>
      <w:r>
        <w:rPr>
          <w:color w:val="0A0A0A"/>
          <w:sz w:val="21"/>
        </w:rPr>
        <w:t xml:space="preserve"> — código-fonte do back-end (FastAPI, arquitetura hexagonal).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rFonts w:ascii="Consolas" w:hAnsi="Consolas"/>
          <w:color w:val="1F1F1F"/>
          <w:sz w:val="19"/>
          <w:shd w:val="clear" w:fill="F2F2F2"/>
        </w:rPr>
        <w:t>frontend/</w:t>
      </w:r>
      <w:r>
        <w:rPr>
          <w:color w:val="0A0A0A"/>
          <w:sz w:val="21"/>
        </w:rPr>
        <w:t xml:space="preserve"> — código-fonte do front-end (React via CDN, sem empacotador).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rFonts w:ascii="Consolas" w:hAnsi="Consolas"/>
          <w:color w:val="1F1F1F"/>
          <w:sz w:val="19"/>
          <w:shd w:val="clear" w:fill="F2F2F2"/>
        </w:rPr>
        <w:t>docs/software architecture/</w:t>
      </w:r>
      <w:r>
        <w:rPr>
          <w:color w:val="0A0A0A"/>
          <w:sz w:val="21"/>
        </w:rPr>
        <w:t xml:space="preserve"> — cofre Obsidian de arquitetura do back-end.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rFonts w:ascii="Consolas" w:hAnsi="Consolas"/>
          <w:color w:val="1F1F1F"/>
          <w:sz w:val="19"/>
          <w:shd w:val="clear" w:fill="F2F2F2"/>
        </w:rPr>
        <w:t>docs/spec/SPEC.md</w:t>
      </w:r>
      <w:r>
        <w:rPr>
          <w:color w:val="0A0A0A"/>
          <w:sz w:val="21"/>
        </w:rPr>
        <w:t xml:space="preserve"> — especificação de integração front-back-banco.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rFonts w:ascii="Consolas" w:hAnsi="Consolas"/>
          <w:color w:val="1F1F1F"/>
          <w:sz w:val="19"/>
          <w:shd w:val="clear" w:fill="F2F2F2"/>
        </w:rPr>
        <w:t>docs/database_report.md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modelo_logico.md</w:t>
      </w:r>
      <w:r>
        <w:rPr>
          <w:color w:val="0A0A0A"/>
          <w:sz w:val="21"/>
        </w:rPr>
        <w:t xml:space="preserve"> — modelo de dados do PostgreSQL.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2. Visão geral em três camadas</w:t>
      </w:r>
    </w:p>
    <w:p>
      <w:pPr>
        <w:jc w:val="both"/>
      </w:pPr>
      <w:r>
        <w:rPr>
          <w:color w:val="0A0A0A"/>
          <w:sz w:val="21"/>
        </w:rPr>
        <w:t xml:space="preserve">Sob a perspectiva de implantação, o CITO é um sistema </w:t>
      </w:r>
      <w:r>
        <w:rPr>
          <w:b/>
          <w:color w:val="0A0A0A"/>
          <w:sz w:val="21"/>
        </w:rPr>
        <w:t>três camadas</w:t>
      </w:r>
      <w:r>
        <w:rPr>
          <w:color w:val="0A0A0A"/>
          <w:sz w:val="21"/>
        </w:rPr>
        <w:t xml:space="preserve"> (*three-tier*): um front-end de apresentação, um back-end de aplicação e um banco de dados. A comunicação entre as camadas é estrita e unidirecional do cliente em direção ao dado.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+-------------------------------------------------------------+</w:t>
        <w:br/>
        <w:t>|  FRONT-END  (React via CDN, sem empacotador)                |</w:t>
        <w:br/>
        <w:t>|  Paginas: Login, Dashboard, Pacientes, Triagem, Agenda,     |</w:t>
        <w:br/>
        <w:t>|           Configuracoes, Usuarios                           |</w:t>
        <w:br/>
        <w:t>|  Conversa SOMENTE via frontend/src/api/client.js (Bearer)   |</w:t>
        <w:br/>
        <w:t>+----------------------------+--------------------------------+</w:t>
        <w:br/>
        <w:t xml:space="preserve">                             |  HTTPS / JSON</w:t>
        <w:br/>
        <w:t xml:space="preserve">                             v</w:t>
        <w:br/>
        <w:t>+-------------------------------------------------------------+</w:t>
        <w:br/>
        <w:t>|  BACK-END  (FastAPI, hexagonal/ports &amp; adapters)            |</w:t>
        <w:br/>
        <w:t>|  presentation -&gt; application -&gt; domain &lt;- interfaces        |</w:t>
        <w:br/>
        <w:t>+----------------------------+--------------------------------+</w:t>
        <w:br/>
        <w:t xml:space="preserve">                             |  SQLAlchemy async + asyncpg</w:t>
        <w:br/>
        <w:t xml:space="preserve">                             v</w:t>
        <w:br/>
        <w:t>+-------------------------------------------------------------+</w:t>
        <w:br/>
        <w:t>|  BANCO  (PostgreSQL 17.6 + pgcrypto + pg_trgm)              |</w:t>
        <w:br/>
        <w:t>|  Tabelas tb_* cifradas (BYTEA) -&gt; VIEWS logicas (decifram)  |</w:t>
        <w:br/>
        <w:t>|  Logica de escore: fn_calcular_score_triagem()             |</w:t>
        <w:br/>
        <w:t>+-------------------------------------------------------------+</w:t>
      </w:r>
    </w:p>
    <w:p>
      <w:pPr>
        <w:jc w:val="both"/>
      </w:pPr>
      <w:r>
        <w:rPr>
          <w:color w:val="0A0A0A"/>
          <w:sz w:val="21"/>
        </w:rPr>
        <w:t>Duas regras estruturais governam essa topologia: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b/>
          <w:color w:val="0A0A0A"/>
          <w:sz w:val="21"/>
        </w:rPr>
        <w:t>O front-end conversa exclusivamente com a API.</w:t>
      </w:r>
      <w:r>
        <w:rPr>
          <w:color w:val="0A0A0A"/>
          <w:sz w:val="21"/>
        </w:rPr>
        <w:t xml:space="preserve"> Não há mais acesso direto ao banco a partir do navegador. Toda a comunicação passa por um único módulo de rede (</w:t>
      </w:r>
      <w:r>
        <w:rPr>
          <w:rFonts w:ascii="Consolas" w:hAnsi="Consolas"/>
          <w:color w:val="1F1F1F"/>
          <w:sz w:val="19"/>
          <w:shd w:val="clear" w:fill="F2F2F2"/>
        </w:rPr>
        <w:t>frontend/src/api/client.js</w:t>
      </w:r>
      <w:r>
        <w:rPr>
          <w:color w:val="0A0A0A"/>
          <w:sz w:val="21"/>
        </w:rPr>
        <w:t>). Esta é a decisão de arquitetura ADR-0001.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b/>
          <w:color w:val="0A0A0A"/>
          <w:sz w:val="21"/>
        </w:rPr>
        <w:t>O back-end acessa o banco somente pelas views lógicas.</w:t>
      </w:r>
      <w:r>
        <w:rPr>
          <w:color w:val="0A0A0A"/>
          <w:sz w:val="21"/>
        </w:rPr>
        <w:t xml:space="preserve"> Os repositórios nunca leem ou escrevem nas tabelas físicas </w:t>
      </w:r>
      <w:r>
        <w:rPr>
          <w:rFonts w:ascii="Consolas" w:hAnsi="Consolas"/>
          <w:color w:val="1F1F1F"/>
          <w:sz w:val="19"/>
          <w:shd w:val="clear" w:fill="F2F2F2"/>
        </w:rPr>
        <w:t>tb_*</w:t>
      </w:r>
      <w:r>
        <w:rPr>
          <w:color w:val="0A0A0A"/>
          <w:sz w:val="21"/>
        </w:rPr>
        <w:t xml:space="preserve"> diretamente. As views cifram e decifram dados sensíveis de forma transparente, por meio de gatilhos (*triggers*) e da função de descriptografia por sessão.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2.1 Pilha tecnológica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4824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Tecnologia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Front-end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React 18.3 (UMD via CDN), Babel Standalone (transpilação JSX no navegador), Tailwind CSS (Play CDN), jsPDF (geração de laudo), fontes Geist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Framework web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FastAPI (≥ 0.115)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Validação / serialização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Pydantic v2 + pydantic-settings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ORM / driver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SQLAlchemy 2.0 (modo assíncrono) + asyncpg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Banco de dados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PostgreSQL 17.6 (Supabase) + extensões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pgcrypto</w:t>
            </w:r>
            <w:r>
              <w:rPr>
                <w:color w:val="0A0A0A"/>
                <w:sz w:val="19"/>
              </w:rPr>
              <w:t xml:space="preserve"> e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pg_trgm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Autenticação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JWT HS256 implementado com a biblioteca padrão (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hmac</w:t>
            </w:r>
            <w:r>
              <w:rPr>
                <w:color w:val="0A0A0A"/>
                <w:sz w:val="19"/>
              </w:rPr>
              <w:t xml:space="preserve"> +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hashlib</w:t>
            </w:r>
            <w:r>
              <w:rPr>
                <w:color w:val="0A0A0A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Formulários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python-multipart (login em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application/x-www-form-urlencoded</w:t>
            </w:r>
            <w:r>
              <w:rPr>
                <w:color w:val="0A0A0A"/>
                <w:sz w:val="19"/>
              </w:rPr>
              <w:t>)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Servidor de aplicação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Uvicorn (desenvolvimento) / Gunicorn (produção)</w:t>
            </w:r>
          </w:p>
        </w:tc>
      </w:tr>
    </w:tbl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3. Arquitetura do back-end</w:t>
      </w:r>
    </w:p>
    <w:p>
      <w:pPr>
        <w:jc w:val="both"/>
      </w:pPr>
      <w:r>
        <w:rPr>
          <w:color w:val="0A0A0A"/>
          <w:sz w:val="21"/>
        </w:rPr>
        <w:t>O back-end (</w:t>
      </w:r>
      <w:r>
        <w:rPr>
          <w:rFonts w:ascii="Consolas" w:hAnsi="Consolas"/>
          <w:color w:val="1F1F1F"/>
          <w:sz w:val="19"/>
          <w:shd w:val="clear" w:fill="F2F2F2"/>
        </w:rPr>
        <w:t>app/</w:t>
      </w:r>
      <w:r>
        <w:rPr>
          <w:color w:val="0A0A0A"/>
          <w:sz w:val="21"/>
        </w:rPr>
        <w:t xml:space="preserve">) adota uma versão </w:t>
      </w:r>
      <w:r>
        <w:rPr>
          <w:b/>
          <w:color w:val="0A0A0A"/>
          <w:sz w:val="21"/>
        </w:rPr>
        <w:t>pragmática</w:t>
      </w:r>
      <w:r>
        <w:rPr>
          <w:color w:val="0A0A0A"/>
          <w:sz w:val="21"/>
        </w:rPr>
        <w:t xml:space="preserve"> da arquitetura </w:t>
      </w:r>
      <w:r>
        <w:rPr>
          <w:b/>
          <w:color w:val="0A0A0A"/>
          <w:sz w:val="21"/>
        </w:rPr>
        <w:t>hexagonal</w:t>
      </w:r>
      <w:r>
        <w:rPr>
          <w:color w:val="0A0A0A"/>
          <w:sz w:val="21"/>
        </w:rPr>
        <w:t xml:space="preserve"> (também conhecida como *ports &amp; adapters*, de Alistair Cockburn). O objetivo do padrão é isolar a lógica de negócio das tecnologias de entrada e de saída (web, banco), de modo que o núcleo de domínio não dependa de detalhes de infraestrutura.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3.1 A regra de dependência</w:t>
      </w:r>
    </w:p>
    <w:p>
      <w:pPr>
        <w:jc w:val="both"/>
      </w:pPr>
      <w:r>
        <w:rPr>
          <w:color w:val="0A0A0A"/>
          <w:sz w:val="21"/>
        </w:rPr>
        <w:t xml:space="preserve">A dependência aponta </w:t>
      </w:r>
      <w:r>
        <w:rPr>
          <w:b/>
          <w:color w:val="0A0A0A"/>
          <w:sz w:val="21"/>
        </w:rPr>
        <w:t>sempre para o centro</w:t>
      </w:r>
      <w:r>
        <w:rPr>
          <w:color w:val="0A0A0A"/>
          <w:sz w:val="21"/>
        </w:rPr>
        <w:t xml:space="preserve"> (domínio). Código de camadas externas pode depender de camadas internas; o contrário é proibido. Nada no domínio sabe que existe HTTP ou SQL.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presentation ---&gt; application ---&gt; domain &lt;--- interfaces</w:t>
        <w:br/>
        <w:t xml:space="preserve">     |                 |                          ^</w:t>
        <w:br/>
        <w:t xml:space="preserve">     +-----------------+--- tudo costurado em ----+</w:t>
        <w:br/>
        <w:t xml:space="preserve">                          app/main.py (composition root)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PODE importar de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NÃO PODE importar de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presentation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application, interfaces, domain, core, db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—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application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domain, interfaces (adapters), core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presentation, fastapi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domain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apenas stdlib + pydantic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presentation, application, interfaces, sqlalchemy, fastapi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interfaces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domain, application (DTOs), core, db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presentation, fastapi (exceto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dependencies.py</w:t>
            </w:r>
            <w:r>
              <w:rPr>
                <w:color w:val="0A0A0A"/>
                <w:sz w:val="19"/>
              </w:rPr>
              <w:t>)</w:t>
            </w:r>
          </w:p>
        </w:tc>
      </w:tr>
    </w:tbl>
    <w:p>
      <w:pPr>
        <w:jc w:val="both"/>
      </w:pPr>
      <w:r>
        <w:rPr>
          <w:color w:val="0A0A0A"/>
          <w:sz w:val="21"/>
        </w:rPr>
        <w:t xml:space="preserve">O único arquivo autorizado a importar de todas as camadas é a raiz de composição, </w:t>
      </w:r>
      <w:r>
        <w:rPr>
          <w:rFonts w:ascii="Consolas" w:hAnsi="Consolas"/>
          <w:color w:val="1F1F1F"/>
          <w:sz w:val="19"/>
          <w:shd w:val="clear" w:fill="F2F2F2"/>
        </w:rPr>
        <w:t>app/main.py</w:t>
      </w:r>
      <w:r>
        <w:rPr>
          <w:color w:val="0A0A0A"/>
          <w:sz w:val="21"/>
        </w:rPr>
        <w:t>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3.2 As quatro camadas lógicas</w:t>
      </w:r>
    </w:p>
    <w:p>
      <w:pPr>
        <w:keepNext/>
        <w:spacing w:before="200" w:after="120"/>
      </w:pPr>
      <w:r>
        <w:rPr>
          <w:b/>
          <w:color w:val="1F1F1F"/>
          <w:sz w:val="26"/>
        </w:rPr>
        <w:t>Camada de apresentação (</w:t>
      </w:r>
      <w:r>
        <w:rPr>
          <w:rFonts w:ascii="Consolas" w:hAnsi="Consolas"/>
          <w:b/>
          <w:color w:val="1F1F1F"/>
          <w:sz w:val="24"/>
          <w:shd w:val="clear" w:fill="F2F2F2"/>
        </w:rPr>
        <w:t>presentation/</w:t>
      </w:r>
      <w:r>
        <w:rPr>
          <w:b/>
          <w:color w:val="1F1F1F"/>
          <w:sz w:val="26"/>
        </w:rPr>
        <w:t>)</w:t>
      </w:r>
    </w:p>
    <w:p>
      <w:pPr>
        <w:jc w:val="both"/>
      </w:pPr>
      <w:r>
        <w:rPr>
          <w:color w:val="0A0A0A"/>
          <w:sz w:val="21"/>
        </w:rPr>
        <w:t>É a borda HTTP — a única camada que conhece o FastAPI. Suas responsabilidades são receber requisições, validar payloads, chamar o caso de uso adequado, formatar a resposta e aplicar o mascaramento de dados pessoais. Subdivide-se em: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rFonts w:ascii="Consolas" w:hAnsi="Consolas"/>
          <w:color w:val="1F1F1F"/>
          <w:sz w:val="19"/>
          <w:shd w:val="clear" w:fill="F2F2F2"/>
        </w:rPr>
        <w:t>routers/</w:t>
      </w:r>
      <w:r>
        <w:rPr>
          <w:color w:val="0A0A0A"/>
          <w:sz w:val="21"/>
        </w:rPr>
        <w:t xml:space="preserve"> — define os endpoints. Cada router declara um </w:t>
      </w:r>
      <w:r>
        <w:rPr>
          <w:rFonts w:ascii="Consolas" w:hAnsi="Consolas"/>
          <w:color w:val="1F1F1F"/>
          <w:sz w:val="19"/>
          <w:shd w:val="clear" w:fill="F2F2F2"/>
        </w:rPr>
        <w:t>APIRouter</w:t>
      </w:r>
      <w:r>
        <w:rPr>
          <w:color w:val="0A0A0A"/>
          <w:sz w:val="21"/>
        </w:rPr>
        <w:t xml:space="preserve"> e é incluído em </w:t>
      </w:r>
      <w:r>
        <w:rPr>
          <w:rFonts w:ascii="Consolas" w:hAnsi="Consolas"/>
          <w:color w:val="1F1F1F"/>
          <w:sz w:val="19"/>
          <w:shd w:val="clear" w:fill="F2F2F2"/>
        </w:rPr>
        <w:t>main.py</w:t>
      </w:r>
      <w:r>
        <w:rPr>
          <w:color w:val="0A0A0A"/>
          <w:sz w:val="21"/>
        </w:rPr>
        <w:t xml:space="preserve"> sob o prefixo </w:t>
      </w:r>
      <w:r>
        <w:rPr>
          <w:rFonts w:ascii="Consolas" w:hAnsi="Consolas"/>
          <w:color w:val="1F1F1F"/>
          <w:sz w:val="19"/>
          <w:shd w:val="clear" w:fill="F2F2F2"/>
        </w:rPr>
        <w:t>/api/v1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rFonts w:ascii="Consolas" w:hAnsi="Consolas"/>
          <w:color w:val="1F1F1F"/>
          <w:sz w:val="19"/>
          <w:shd w:val="clear" w:fill="F2F2F2"/>
        </w:rPr>
        <w:t>schemas/</w:t>
      </w:r>
      <w:r>
        <w:rPr>
          <w:color w:val="0A0A0A"/>
          <w:sz w:val="21"/>
        </w:rPr>
        <w:t xml:space="preserve"> — contratos Pydantic de requisição e resposta. Quase todos usam </w:t>
      </w:r>
      <w:r>
        <w:rPr>
          <w:rFonts w:ascii="Consolas" w:hAnsi="Consolas"/>
          <w:color w:val="1F1F1F"/>
          <w:sz w:val="19"/>
          <w:shd w:val="clear" w:fill="F2F2F2"/>
        </w:rPr>
        <w:t>extra="forbid"</w:t>
      </w:r>
      <w:r>
        <w:rPr>
          <w:color w:val="0A0A0A"/>
          <w:sz w:val="21"/>
        </w:rPr>
        <w:t>, fazendo qualquer campo inesperado falhar a validação — isso trava o contrato com o front-end e detecta divergências cedo.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rFonts w:ascii="Consolas" w:hAnsi="Consolas"/>
          <w:color w:val="1F1F1F"/>
          <w:sz w:val="19"/>
          <w:shd w:val="clear" w:fill="F2F2F2"/>
        </w:rPr>
        <w:t>masking.py</w:t>
      </w:r>
      <w:r>
        <w:rPr>
          <w:color w:val="0A0A0A"/>
          <w:sz w:val="21"/>
        </w:rPr>
        <w:t xml:space="preserve"> — utilitários de mascaramento de dados pessoais (</w:t>
      </w:r>
      <w:r>
        <w:rPr>
          <w:rFonts w:ascii="Consolas" w:hAnsi="Consolas"/>
          <w:color w:val="1F1F1F"/>
          <w:sz w:val="19"/>
          <w:shd w:val="clear" w:fill="F2F2F2"/>
        </w:rPr>
        <w:t>CPF_MASK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mask_name</w:t>
      </w:r>
      <w:r>
        <w:rPr>
          <w:color w:val="0A0A0A"/>
          <w:sz w:val="21"/>
        </w:rPr>
        <w:t>).</w:t>
      </w:r>
    </w:p>
    <w:p>
      <w:pPr>
        <w:keepNext/>
        <w:spacing w:before="200" w:after="120"/>
      </w:pPr>
      <w:r>
        <w:rPr>
          <w:b/>
          <w:color w:val="1F1F1F"/>
          <w:sz w:val="26"/>
        </w:rPr>
        <w:t>Camada de aplicação (</w:t>
      </w:r>
      <w:r>
        <w:rPr>
          <w:rFonts w:ascii="Consolas" w:hAnsi="Consolas"/>
          <w:b/>
          <w:color w:val="1F1F1F"/>
          <w:sz w:val="24"/>
          <w:shd w:val="clear" w:fill="F2F2F2"/>
        </w:rPr>
        <w:t>application/</w:t>
      </w:r>
      <w:r>
        <w:rPr>
          <w:b/>
          <w:color w:val="1F1F1F"/>
          <w:sz w:val="26"/>
        </w:rPr>
        <w:t>)</w:t>
      </w:r>
    </w:p>
    <w:p>
      <w:pPr>
        <w:jc w:val="both"/>
      </w:pPr>
      <w:r>
        <w:rPr>
          <w:color w:val="0A0A0A"/>
          <w:sz w:val="21"/>
        </w:rPr>
        <w:t xml:space="preserve">Orquestra as regras de negócio. Cada caso de uso é uma classe com um método </w:t>
      </w:r>
      <w:r>
        <w:rPr>
          <w:rFonts w:ascii="Consolas" w:hAnsi="Consolas"/>
          <w:color w:val="1F1F1F"/>
          <w:sz w:val="19"/>
          <w:shd w:val="clear" w:fill="F2F2F2"/>
        </w:rPr>
        <w:t>execute()</w:t>
      </w:r>
      <w:r>
        <w:rPr>
          <w:color w:val="0A0A0A"/>
          <w:sz w:val="21"/>
        </w:rPr>
        <w:t xml:space="preserve">. A camada é </w:t>
      </w:r>
      <w:r>
        <w:rPr>
          <w:b/>
          <w:color w:val="0A0A0A"/>
          <w:sz w:val="21"/>
        </w:rPr>
        <w:t>cega a HTTP</w:t>
      </w:r>
      <w:r>
        <w:rPr>
          <w:color w:val="0A0A0A"/>
          <w:sz w:val="21"/>
        </w:rPr>
        <w:t xml:space="preserve"> (lança exceções de domínio, nunca </w:t>
      </w:r>
      <w:r>
        <w:rPr>
          <w:rFonts w:ascii="Consolas" w:hAnsi="Consolas"/>
          <w:color w:val="1F1F1F"/>
          <w:sz w:val="19"/>
          <w:shd w:val="clear" w:fill="F2F2F2"/>
        </w:rPr>
        <w:t>HTTPException</w:t>
      </w:r>
      <w:r>
        <w:rPr>
          <w:color w:val="0A0A0A"/>
          <w:sz w:val="21"/>
        </w:rPr>
        <w:t xml:space="preserve">) e, em sua maioria, </w:t>
      </w:r>
      <w:r>
        <w:rPr>
          <w:b/>
          <w:color w:val="0A0A0A"/>
          <w:sz w:val="21"/>
        </w:rPr>
        <w:t>cega a SQL</w:t>
      </w:r>
      <w:r>
        <w:rPr>
          <w:color w:val="0A0A0A"/>
          <w:sz w:val="21"/>
        </w:rPr>
        <w:t xml:space="preserve"> (delega aos repositórios). Recebe suas dependências por construtor, em injeção explícita, sem *service locator*. Subdivide-se em </w:t>
      </w:r>
      <w:r>
        <w:rPr>
          <w:rFonts w:ascii="Consolas" w:hAnsi="Consolas"/>
          <w:color w:val="1F1F1F"/>
          <w:sz w:val="19"/>
          <w:shd w:val="clear" w:fill="F2F2F2"/>
        </w:rPr>
        <w:t>use_cases/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dtos/</w:t>
      </w:r>
      <w:r>
        <w:rPr>
          <w:color w:val="0A0A0A"/>
          <w:sz w:val="21"/>
        </w:rPr>
        <w:t>.</w:t>
      </w:r>
    </w:p>
    <w:p>
      <w:pPr>
        <w:keepNext/>
        <w:spacing w:before="200" w:after="120"/>
      </w:pPr>
      <w:r>
        <w:rPr>
          <w:b/>
          <w:color w:val="1F1F1F"/>
          <w:sz w:val="26"/>
        </w:rPr>
        <w:t>Camada de domínio (</w:t>
      </w:r>
      <w:r>
        <w:rPr>
          <w:rFonts w:ascii="Consolas" w:hAnsi="Consolas"/>
          <w:b/>
          <w:color w:val="1F1F1F"/>
          <w:sz w:val="24"/>
          <w:shd w:val="clear" w:fill="F2F2F2"/>
        </w:rPr>
        <w:t>domain/</w:t>
      </w:r>
      <w:r>
        <w:rPr>
          <w:b/>
          <w:color w:val="1F1F1F"/>
          <w:sz w:val="26"/>
        </w:rPr>
        <w:t>)</w:t>
      </w:r>
    </w:p>
    <w:p>
      <w:pPr>
        <w:jc w:val="both"/>
      </w:pPr>
      <w:r>
        <w:rPr>
          <w:color w:val="0A0A0A"/>
          <w:sz w:val="21"/>
        </w:rPr>
        <w:t xml:space="preserve">É o núcleo puro: representa os conceitos e as invariantes do negócio sem nenhuma dependência de infraestrutura. Não há </w:t>
      </w:r>
      <w:r>
        <w:rPr>
          <w:rFonts w:ascii="Consolas" w:hAnsi="Consolas"/>
          <w:color w:val="1F1F1F"/>
          <w:sz w:val="19"/>
          <w:shd w:val="clear" w:fill="F2F2F2"/>
        </w:rPr>
        <w:t>import fastapi</w:t>
      </w:r>
      <w:r>
        <w:rPr>
          <w:color w:val="0A0A0A"/>
          <w:sz w:val="21"/>
        </w:rPr>
        <w:t xml:space="preserve"> nem </w:t>
      </w:r>
      <w:r>
        <w:rPr>
          <w:rFonts w:ascii="Consolas" w:hAnsi="Consolas"/>
          <w:color w:val="1F1F1F"/>
          <w:sz w:val="19"/>
          <w:shd w:val="clear" w:fill="F2F2F2"/>
        </w:rPr>
        <w:t>import sqlalchemy</w:t>
      </w:r>
      <w:r>
        <w:rPr>
          <w:color w:val="0A0A0A"/>
          <w:sz w:val="21"/>
        </w:rPr>
        <w:t xml:space="preserve"> aqui. Contém entidades (</w:t>
      </w:r>
      <w:r>
        <w:rPr>
          <w:rFonts w:ascii="Consolas" w:hAnsi="Consolas"/>
          <w:color w:val="1F1F1F"/>
          <w:sz w:val="19"/>
          <w:shd w:val="clear" w:fill="F2F2F2"/>
        </w:rPr>
        <w:t>Patient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Acompanhante</w:t>
      </w:r>
      <w:r>
        <w:rPr>
          <w:color w:val="0A0A0A"/>
          <w:sz w:val="21"/>
        </w:rPr>
        <w:t>), objetos de valor (</w:t>
      </w:r>
      <w:r>
        <w:rPr>
          <w:rFonts w:ascii="Consolas" w:hAnsi="Consolas"/>
          <w:color w:val="1F1F1F"/>
          <w:sz w:val="19"/>
          <w:shd w:val="clear" w:fill="F2F2F2"/>
        </w:rPr>
        <w:t>CPF</w:t>
      </w:r>
      <w:r>
        <w:rPr>
          <w:color w:val="0A0A0A"/>
          <w:sz w:val="21"/>
        </w:rPr>
        <w:t>), serviços de domínio (</w:t>
      </w:r>
      <w:r>
        <w:rPr>
          <w:rFonts w:ascii="Consolas" w:hAnsi="Consolas"/>
          <w:color w:val="1F1F1F"/>
          <w:sz w:val="19"/>
          <w:shd w:val="clear" w:fill="F2F2F2"/>
        </w:rPr>
        <w:t>SymptomScoringOrchestrator</w:t>
      </w:r>
      <w:r>
        <w:rPr>
          <w:color w:val="0A0A0A"/>
          <w:sz w:val="21"/>
        </w:rPr>
        <w:t>) e a hierarquia de exceções.</w:t>
      </w:r>
    </w:p>
    <w:p>
      <w:pPr>
        <w:keepNext/>
        <w:spacing w:before="200" w:after="120"/>
      </w:pPr>
      <w:r>
        <w:rPr>
          <w:b/>
          <w:color w:val="1F1F1F"/>
          <w:sz w:val="26"/>
        </w:rPr>
        <w:t>Camada de interfaces (</w:t>
      </w:r>
      <w:r>
        <w:rPr>
          <w:rFonts w:ascii="Consolas" w:hAnsi="Consolas"/>
          <w:b/>
          <w:color w:val="1F1F1F"/>
          <w:sz w:val="24"/>
          <w:shd w:val="clear" w:fill="F2F2F2"/>
        </w:rPr>
        <w:t>interfaces/</w:t>
      </w:r>
      <w:r>
        <w:rPr>
          <w:b/>
          <w:color w:val="1F1F1F"/>
          <w:sz w:val="26"/>
        </w:rPr>
        <w:t>)</w:t>
      </w:r>
    </w:p>
    <w:p>
      <w:pPr>
        <w:jc w:val="both"/>
      </w:pPr>
      <w:r>
        <w:rPr>
          <w:color w:val="0A0A0A"/>
          <w:sz w:val="21"/>
        </w:rPr>
        <w:t xml:space="preserve">São os adaptadores. Aqui reside o </w:t>
      </w:r>
      <w:r>
        <w:rPr>
          <w:b/>
          <w:color w:val="0A0A0A"/>
          <w:sz w:val="21"/>
        </w:rPr>
        <w:t>SQL bruto</w:t>
      </w:r>
      <w:r>
        <w:rPr>
          <w:color w:val="0A0A0A"/>
          <w:sz w:val="21"/>
        </w:rPr>
        <w:t xml:space="preserve">, escrito via </w:t>
      </w:r>
      <w:r>
        <w:rPr>
          <w:rFonts w:ascii="Consolas" w:hAnsi="Consolas"/>
          <w:color w:val="1F1F1F"/>
          <w:sz w:val="19"/>
          <w:shd w:val="clear" w:fill="F2F2F2"/>
        </w:rPr>
        <w:t>sqlalchemy.text()</w:t>
      </w:r>
      <w:r>
        <w:rPr>
          <w:color w:val="0A0A0A"/>
          <w:sz w:val="21"/>
        </w:rPr>
        <w:t xml:space="preserve"> com parâmetros nomeados, sempre contra as views do banco. Também abriga o adaptador de entrada de autenticação (</w:t>
      </w:r>
      <w:r>
        <w:rPr>
          <w:rFonts w:ascii="Consolas" w:hAnsi="Consolas"/>
          <w:color w:val="1F1F1F"/>
          <w:sz w:val="19"/>
          <w:shd w:val="clear" w:fill="F2F2F2"/>
        </w:rPr>
        <w:t>api/dependencies.py</w:t>
      </w:r>
      <w:r>
        <w:rPr>
          <w:color w:val="0A0A0A"/>
          <w:sz w:val="21"/>
        </w:rPr>
        <w:t>), que valida o JWT e devolve a identidade do médico.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3.3 Camadas de apoio transversais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Pasta</w:t>
            </w:r>
          </w:p>
        </w:tc>
        <w:tc>
          <w:tcPr>
            <w:tcW w:type="dxa" w:w="4824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Papel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core/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Configuração tipada (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config.py</w:t>
            </w:r>
            <w:r>
              <w:rPr>
                <w:color w:val="0A0A0A"/>
                <w:sz w:val="19"/>
              </w:rPr>
              <w:t>), JWT HS256 (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security.py</w:t>
            </w:r>
            <w:r>
              <w:rPr>
                <w:color w:val="0A0A0A"/>
                <w:sz w:val="19"/>
              </w:rPr>
              <w:t>) e hierarquia de exceções (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exceptions.py</w:t>
            </w:r>
            <w:r>
              <w:rPr>
                <w:color w:val="0A0A0A"/>
                <w:sz w:val="19"/>
              </w:rPr>
              <w:t>)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db/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Engine assíncrona, fábrica de sessões e injeção da chave PGP por sessão (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database.py</w:t>
            </w:r>
            <w:r>
              <w:rPr>
                <w:color w:val="0A0A0A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services/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AuthService</w:t>
            </w:r>
            <w:r>
              <w:rPr>
                <w:color w:val="0A0A0A"/>
                <w:sz w:val="19"/>
              </w:rPr>
              <w:t xml:space="preserve"> — sessões, tentativas de login e autenticação, com SQL direto</w:t>
            </w:r>
          </w:p>
        </w:tc>
      </w:tr>
    </w:tbl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3.4 Ports &amp; Adapters na prática</w:t>
      </w:r>
    </w:p>
    <w:p>
      <w:pPr>
        <w:jc w:val="both"/>
      </w:pPr>
      <w:r>
        <w:rPr>
          <w:color w:val="0A0A0A"/>
          <w:sz w:val="21"/>
        </w:rPr>
        <w:t>O CITO segue fielmente parte do padrão: o domínio é puro; os casos de uso são cegos a HTTP; os adaptadores de saída encapsulam todo o SQL; e o adaptador de entrada (router) apenas traduz HTTP para chamada de caso de uso.</w:t>
      </w:r>
    </w:p>
    <w:p>
      <w:pPr>
        <w:jc w:val="both"/>
      </w:pPr>
      <w:r>
        <w:rPr>
          <w:color w:val="0A0A0A"/>
          <w:sz w:val="21"/>
        </w:rPr>
        <w:t xml:space="preserve">Há, porém, um desvio consciente em relação ao "hexágono de manual": os casos de uso dependem </w:t>
      </w:r>
      <w:r>
        <w:rPr>
          <w:b/>
          <w:color w:val="0A0A0A"/>
          <w:sz w:val="21"/>
        </w:rPr>
        <w:t>diretamente das classes concretas</w:t>
      </w:r>
      <w:r>
        <w:rPr>
          <w:color w:val="0A0A0A"/>
          <w:sz w:val="21"/>
        </w:rPr>
        <w:t xml:space="preserve"> de </w:t>
      </w:r>
      <w:r>
        <w:rPr>
          <w:rFonts w:ascii="Consolas" w:hAnsi="Consolas"/>
          <w:color w:val="1F1F1F"/>
          <w:sz w:val="19"/>
          <w:shd w:val="clear" w:fill="F2F2F2"/>
        </w:rPr>
        <w:t>interfaces/repositories/</w:t>
      </w:r>
      <w:r>
        <w:rPr>
          <w:color w:val="0A0A0A"/>
          <w:sz w:val="21"/>
        </w:rPr>
        <w:t xml:space="preserve">, e não de interfaces abstratas (*ports*). Essa escolha é mais simples e direta para o porte do projeto, mas tem como consequência que os protocolos definidos em </w:t>
      </w:r>
      <w:r>
        <w:rPr>
          <w:rFonts w:ascii="Consolas" w:hAnsi="Consolas"/>
          <w:color w:val="1F1F1F"/>
          <w:sz w:val="19"/>
          <w:shd w:val="clear" w:fill="F2F2F2"/>
        </w:rPr>
        <w:t>domain/ports/</w:t>
      </w:r>
      <w:r>
        <w:rPr>
          <w:color w:val="0A0A0A"/>
          <w:sz w:val="21"/>
        </w:rPr>
        <w:t xml:space="preserve"> ficaram </w:t>
      </w:r>
      <w:r>
        <w:rPr>
          <w:b/>
          <w:color w:val="0A0A0A"/>
          <w:sz w:val="21"/>
        </w:rPr>
        <w:t>órfãos</w:t>
      </w:r>
      <w:r>
        <w:rPr>
          <w:color w:val="0A0A0A"/>
          <w:sz w:val="21"/>
        </w:rPr>
        <w:t>. Esse ponto se conecta à distinção entre núcleo ativo e *scaffolding* legado, tratada na seção 5.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3.5 A raiz de composição (</w:t>
      </w:r>
      <w:r>
        <w:rPr>
          <w:rFonts w:ascii="Consolas" w:hAnsi="Consolas"/>
          <w:b/>
          <w:color w:val="0A0A0A"/>
          <w:sz w:val="30"/>
          <w:shd w:val="clear" w:fill="F2F2F2"/>
        </w:rPr>
        <w:t>app/main.py</w:t>
      </w:r>
      <w:r>
        <w:rPr>
          <w:b/>
          <w:color w:val="0A0A0A"/>
          <w:sz w:val="32"/>
        </w:rPr>
        <w:t>)</w:t>
      </w:r>
    </w:p>
    <w:p>
      <w:pPr>
        <w:jc w:val="both"/>
      </w:pPr>
      <w:r>
        <w:rPr>
          <w:rFonts w:ascii="Consolas" w:hAnsi="Consolas"/>
          <w:color w:val="1F1F1F"/>
          <w:sz w:val="19"/>
          <w:shd w:val="clear" w:fill="F2F2F2"/>
        </w:rPr>
        <w:t>app/main.py</w:t>
      </w:r>
      <w:r>
        <w:rPr>
          <w:color w:val="0A0A0A"/>
          <w:sz w:val="21"/>
        </w:rPr>
        <w:t xml:space="preserve"> cria o objeto FastAPI por meio de </w:t>
      </w:r>
      <w:r>
        <w:rPr>
          <w:rFonts w:ascii="Consolas" w:hAnsi="Consolas"/>
          <w:color w:val="1F1F1F"/>
          <w:sz w:val="19"/>
          <w:shd w:val="clear" w:fill="F2F2F2"/>
        </w:rPr>
        <w:t>create_app()</w:t>
      </w:r>
      <w:r>
        <w:rPr>
          <w:color w:val="0A0A0A"/>
          <w:sz w:val="21"/>
        </w:rPr>
        <w:t xml:space="preserve">. Em ordem, a função: carrega a configuração tipada; instancia o app (com documentação interativa em </w:t>
      </w:r>
      <w:r>
        <w:rPr>
          <w:rFonts w:ascii="Consolas" w:hAnsi="Consolas"/>
          <w:color w:val="1F1F1F"/>
          <w:sz w:val="19"/>
          <w:shd w:val="clear" w:fill="F2F2F2"/>
        </w:rPr>
        <w:t>/api/v1/docs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/api/v1/redoc</w:t>
      </w:r>
      <w:r>
        <w:rPr>
          <w:color w:val="0A0A0A"/>
          <w:sz w:val="21"/>
        </w:rPr>
        <w:t xml:space="preserve">); registra o middleware de CORS quando há origens configuradas; registra os *exception handlers* que traduzem exceções de domínio em respostas HTTP no formato RFC 7807 (*Problem Details*); inclui os nove routers sob o prefixo </w:t>
      </w:r>
      <w:r>
        <w:rPr>
          <w:rFonts w:ascii="Consolas" w:hAnsi="Consolas"/>
          <w:color w:val="1F1F1F"/>
          <w:sz w:val="19"/>
          <w:shd w:val="clear" w:fill="F2F2F2"/>
        </w:rPr>
        <w:t>/api/v1</w:t>
      </w:r>
      <w:r>
        <w:rPr>
          <w:color w:val="0A0A0A"/>
          <w:sz w:val="21"/>
        </w:rPr>
        <w:t xml:space="preserve">; e expõe um *probe* de saúde em </w:t>
      </w:r>
      <w:r>
        <w:rPr>
          <w:rFonts w:ascii="Consolas" w:hAnsi="Consolas"/>
          <w:color w:val="1F1F1F"/>
          <w:sz w:val="19"/>
          <w:shd w:val="clear" w:fill="F2F2F2"/>
        </w:rPr>
        <w:t>GET /health</w:t>
      </w:r>
      <w:r>
        <w:rPr>
          <w:color w:val="0A0A0A"/>
          <w:sz w:val="21"/>
        </w:rPr>
        <w:t>.</w:t>
      </w:r>
    </w:p>
    <w:p>
      <w:pPr>
        <w:jc w:val="both"/>
      </w:pPr>
      <w:r>
        <w:rPr>
          <w:color w:val="0A0A0A"/>
          <w:sz w:val="21"/>
        </w:rPr>
        <w:t xml:space="preserve">Vale destacar um aspecto de implantação presente no código atual: quando a pasta </w:t>
      </w:r>
      <w:r>
        <w:rPr>
          <w:rFonts w:ascii="Consolas" w:hAnsi="Consolas"/>
          <w:color w:val="1F1F1F"/>
          <w:sz w:val="19"/>
          <w:shd w:val="clear" w:fill="F2F2F2"/>
        </w:rPr>
        <w:t>frontend/</w:t>
      </w:r>
      <w:r>
        <w:rPr>
          <w:color w:val="0A0A0A"/>
          <w:sz w:val="21"/>
        </w:rPr>
        <w:t xml:space="preserve"> existe ao lado de </w:t>
      </w:r>
      <w:r>
        <w:rPr>
          <w:rFonts w:ascii="Consolas" w:hAnsi="Consolas"/>
          <w:color w:val="1F1F1F"/>
          <w:sz w:val="19"/>
          <w:shd w:val="clear" w:fill="F2F2F2"/>
        </w:rPr>
        <w:t>app/</w:t>
      </w:r>
      <w:r>
        <w:rPr>
          <w:color w:val="0A0A0A"/>
          <w:sz w:val="21"/>
        </w:rPr>
        <w:t xml:space="preserve">, o próprio FastAPI </w:t>
      </w:r>
      <w:r>
        <w:rPr>
          <w:b/>
          <w:color w:val="0A0A0A"/>
          <w:sz w:val="21"/>
        </w:rPr>
        <w:t>serve o front-end estático</w:t>
      </w:r>
      <w:r>
        <w:rPr>
          <w:color w:val="0A0A0A"/>
          <w:sz w:val="21"/>
        </w:rPr>
        <w:t xml:space="preserve">. Uma rota raiz devolve o </w:t>
      </w:r>
      <w:r>
        <w:rPr>
          <w:rFonts w:ascii="Consolas" w:hAnsi="Consolas"/>
          <w:color w:val="1F1F1F"/>
          <w:sz w:val="19"/>
          <w:shd w:val="clear" w:fill="F2F2F2"/>
        </w:rPr>
        <w:t>index.html</w:t>
      </w:r>
      <w:r>
        <w:rPr>
          <w:color w:val="0A0A0A"/>
          <w:sz w:val="21"/>
        </w:rPr>
        <w:t xml:space="preserve"> e uma rota *catch-all* devolve o arquivo solicitado (CSS/JS) ou, na ausência dele, o </w:t>
      </w:r>
      <w:r>
        <w:rPr>
          <w:rFonts w:ascii="Consolas" w:hAnsi="Consolas"/>
          <w:color w:val="1F1F1F"/>
          <w:sz w:val="19"/>
          <w:shd w:val="clear" w:fill="F2F2F2"/>
        </w:rPr>
        <w:t>index.html</w:t>
      </w:r>
      <w:r>
        <w:rPr>
          <w:color w:val="0A0A0A"/>
          <w:sz w:val="21"/>
        </w:rPr>
        <w:t>. Esse arranjo permite implantar back-end e front-end como uma única aplicação no Azure App Service, servidos da mesma origem (o que dispensa o CORS nesse cenário).</w:t>
      </w:r>
    </w:p>
    <w:p>
      <w:pPr>
        <w:jc w:val="both"/>
      </w:pPr>
      <w:r>
        <w:rPr>
          <w:color w:val="0A0A0A"/>
          <w:sz w:val="21"/>
        </w:rPr>
        <w:t xml:space="preserve">A montagem dos casos de uso com seus repositórios não ocorre em </w:t>
      </w:r>
      <w:r>
        <w:rPr>
          <w:rFonts w:ascii="Consolas" w:hAnsi="Consolas"/>
          <w:color w:val="1F1F1F"/>
          <w:sz w:val="19"/>
          <w:shd w:val="clear" w:fill="F2F2F2"/>
        </w:rPr>
        <w:t>main.py</w:t>
      </w:r>
      <w:r>
        <w:rPr>
          <w:color w:val="0A0A0A"/>
          <w:sz w:val="21"/>
        </w:rPr>
        <w:t xml:space="preserve">, e sim </w:t>
      </w:r>
      <w:r>
        <w:rPr>
          <w:b/>
          <w:color w:val="0A0A0A"/>
          <w:sz w:val="21"/>
        </w:rPr>
        <w:t>dentro de cada router</w:t>
      </w:r>
      <w:r>
        <w:rPr>
          <w:color w:val="0A0A0A"/>
          <w:sz w:val="21"/>
        </w:rPr>
        <w:t xml:space="preserve">, por meio de uma fábrica que recebe a </w:t>
      </w:r>
      <w:r>
        <w:rPr>
          <w:rFonts w:ascii="Consolas" w:hAnsi="Consolas"/>
          <w:color w:val="1F1F1F"/>
          <w:sz w:val="19"/>
          <w:shd w:val="clear" w:fill="F2F2F2"/>
        </w:rPr>
        <w:t>AsyncSession</w:t>
      </w:r>
      <w:r>
        <w:rPr>
          <w:color w:val="0A0A0A"/>
          <w:sz w:val="21"/>
        </w:rPr>
        <w:t xml:space="preserve"> da requisição. Exemplo, do router de anamnese: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def _build_use_case(session: AsyncSession) -&gt; SubmitAnamnesisUseCase:</w:t>
        <w:br/>
        <w:t xml:space="preserve">    return SubmitAnamnesisUseCase(</w:t>
        <w:br/>
        <w:t xml:space="preserve">        avaliacoes=AvaliacaoRepository(session),</w:t>
        <w:br/>
        <w:t xml:space="preserve">        checklist=ChecklistRepository(session),</w:t>
        <w:br/>
        <w:t xml:space="preserve">        historico=HistoricoFamiliarRepository(session),</w:t>
        <w:br/>
        <w:t xml:space="preserve">        scoring=SymptomScoringOrchestrator(),</w:t>
        <w:br/>
        <w:t xml:space="preserve">        encaminhamentos=EncaminhamentoRepository(session),</w:t>
        <w:br/>
        <w:t xml:space="preserve">        audit=AuditRepository(session),</w:t>
        <w:br/>
        <w:t xml:space="preserve">    )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3.6 Tradução de erros (RFC 7807)</w:t>
      </w:r>
    </w:p>
    <w:p>
      <w:pPr>
        <w:jc w:val="both"/>
      </w:pPr>
      <w:r>
        <w:rPr>
          <w:color w:val="0A0A0A"/>
          <w:sz w:val="21"/>
        </w:rPr>
        <w:t xml:space="preserve">A regra "o domínio nunca lança </w:t>
      </w:r>
      <w:r>
        <w:rPr>
          <w:rFonts w:ascii="Consolas" w:hAnsi="Consolas"/>
          <w:color w:val="1F1F1F"/>
          <w:sz w:val="19"/>
          <w:shd w:val="clear" w:fill="F2F2F2"/>
        </w:rPr>
        <w:t>HTTPException</w:t>
      </w:r>
      <w:r>
        <w:rPr>
          <w:color w:val="0A0A0A"/>
          <w:sz w:val="21"/>
        </w:rPr>
        <w:t xml:space="preserve">" se materializa nos *exception handlers* de </w:t>
      </w:r>
      <w:r>
        <w:rPr>
          <w:rFonts w:ascii="Consolas" w:hAnsi="Consolas"/>
          <w:color w:val="1F1F1F"/>
          <w:sz w:val="19"/>
          <w:shd w:val="clear" w:fill="F2F2F2"/>
        </w:rPr>
        <w:t>main.py</w:t>
      </w:r>
      <w:r>
        <w:rPr>
          <w:color w:val="0A0A0A"/>
          <w:sz w:val="21"/>
        </w:rPr>
        <w:t xml:space="preserve">. Cada exceção da hierarquia de </w:t>
      </w:r>
      <w:r>
        <w:rPr>
          <w:rFonts w:ascii="Consolas" w:hAnsi="Consolas"/>
          <w:color w:val="1F1F1F"/>
          <w:sz w:val="19"/>
          <w:shd w:val="clear" w:fill="F2F2F2"/>
        </w:rPr>
        <w:t>core/exceptions.py</w:t>
      </w:r>
      <w:r>
        <w:rPr>
          <w:color w:val="0A0A0A"/>
          <w:sz w:val="21"/>
        </w:rPr>
        <w:t xml:space="preserve"> vira uma resposta JSON padronizada </w:t>
      </w:r>
      <w:r>
        <w:rPr>
          <w:rFonts w:ascii="Consolas" w:hAnsi="Consolas"/>
          <w:color w:val="1F1F1F"/>
          <w:sz w:val="19"/>
          <w:shd w:val="clear" w:fill="F2F2F2"/>
        </w:rPr>
        <w:t>{"type", "title", "detail"}</w:t>
      </w:r>
      <w:r>
        <w:rPr>
          <w:color w:val="0A0A0A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Exceção de domínio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HTTP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NotFoundError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404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Recurso não existe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ConflictError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409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Recurso já existe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AuthenticationError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401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Não autenticado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AuthorizationError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403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Sem permissão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LGPDComplianceError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422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Violação de privacidade (k-anonimato)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DomainError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422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Regra de negócio violada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SXFpError</w:t>
            </w:r>
            <w:r>
              <w:rPr>
                <w:color w:val="0A0A0A"/>
                <w:sz w:val="19"/>
              </w:rPr>
              <w:t xml:space="preserve"> (base)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500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Erro interno (detalhe genérico, não vaza *stack trace*)</w:t>
            </w:r>
          </w:p>
        </w:tc>
      </w:tr>
    </w:tbl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4. Onde mora cada responsabilidade</w:t>
      </w:r>
    </w:p>
    <w:p>
      <w:pPr>
        <w:jc w:val="both"/>
      </w:pPr>
      <w:r>
        <w:rPr>
          <w:color w:val="0A0A0A"/>
          <w:sz w:val="21"/>
        </w:rPr>
        <w:t>A tabela a seguir orienta a navegação pelo código, indicando onde cada responsabilidade crítica é implementada.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  <w:tc>
          <w:tcPr>
            <w:tcW w:type="dxa" w:w="4824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Onde vive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Autenticação / emissão e verificação de JWT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core/security.py</w:t>
            </w:r>
            <w:r>
              <w:rPr>
                <w:color w:val="0A0A0A"/>
                <w:sz w:val="19"/>
              </w:rPr>
              <w:t xml:space="preserve"> +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services/auth_service.py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b/>
                <w:color w:val="0A0A0A"/>
                <w:sz w:val="19"/>
              </w:rPr>
              <w:t>Cálculo do escore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No banco (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fn_calcular_score_triagem</w:t>
            </w:r>
            <w:r>
              <w:rPr>
                <w:color w:val="0A0A0A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Orquestração clínica da triagem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application/use_cases/submit_anamnesis.py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Cifragem de dados pessoais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Banco (pgcrypto, triggers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INSTEAD OF INSERT</w:t>
            </w:r>
            <w:r>
              <w:rPr>
                <w:color w:val="0A0A0A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Mascaramento de dados pessoais na borda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presentation/api/v1/masking.py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Guarda de k-anonimato (LGPD)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application/use_cases/get_dashboard_stats.py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Injeção da chave PGP por sessão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db/database.py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Guarda de autenticação das rotas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interfaces/api/dependencies.py</w:t>
            </w:r>
          </w:p>
        </w:tc>
      </w:tr>
    </w:tbl>
    <w:p>
      <w:pPr>
        <w:jc w:val="both"/>
      </w:pPr>
      <w:r>
        <w:rPr>
          <w:color w:val="0A0A0A"/>
          <w:sz w:val="21"/>
        </w:rPr>
        <w:t xml:space="preserve">Um ponto de arquitetura merece destaque: </w:t>
      </w:r>
      <w:r>
        <w:rPr>
          <w:b/>
          <w:color w:val="0A0A0A"/>
          <w:sz w:val="21"/>
        </w:rPr>
        <w:t>a regra de negócio mais importante — o cálculo do escore — não está em Python, e sim no banco de dados</w:t>
      </w:r>
      <w:r>
        <w:rPr>
          <w:color w:val="0A0A0A"/>
          <w:sz w:val="21"/>
        </w:rPr>
        <w:t xml:space="preserve">, na função </w:t>
      </w:r>
      <w:r>
        <w:rPr>
          <w:rFonts w:ascii="Consolas" w:hAnsi="Consolas"/>
          <w:color w:val="1F1F1F"/>
          <w:sz w:val="19"/>
          <w:shd w:val="clear" w:fill="F2F2F2"/>
        </w:rPr>
        <w:t>fn_calcular_score_triagem</w:t>
      </w:r>
      <w:r>
        <w:rPr>
          <w:color w:val="0A0A0A"/>
          <w:sz w:val="21"/>
        </w:rPr>
        <w:t>. O back-end não duplica a fórmula; ele apenas a invoca e lê o resultado. As implicações dessa decisão são detalhadas na seção 7.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5. Núcleo ativo versus scaffolding legado</w:t>
      </w:r>
    </w:p>
    <w:p>
      <w:pPr>
        <w:jc w:val="both"/>
      </w:pPr>
      <w:r>
        <w:rPr>
          <w:color w:val="0A0A0A"/>
          <w:sz w:val="21"/>
        </w:rPr>
        <w:t xml:space="preserve">Um aspecto explicitamente documentado no cofre de arquitetura, e que deve ser respeitado, é que </w:t>
      </w:r>
      <w:r>
        <w:rPr>
          <w:b/>
          <w:color w:val="0A0A0A"/>
          <w:sz w:val="21"/>
        </w:rPr>
        <w:t>nem todo arquivo do back-end faz parte do sistema em execução</w:t>
      </w:r>
      <w:r>
        <w:rPr>
          <w:color w:val="0A0A0A"/>
          <w:sz w:val="21"/>
        </w:rPr>
        <w:t xml:space="preserve">. O projeto nasceu da fusão de um back-end antigo (modelado com UUID e com protocolos ao estilo hexagonal de manual) com a integração nova (alinhada ao banco real, que usa identificadores inteiros </w:t>
      </w:r>
      <w:r>
        <w:rPr>
          <w:rFonts w:ascii="Consolas" w:hAnsi="Consolas"/>
          <w:color w:val="1F1F1F"/>
          <w:sz w:val="19"/>
          <w:shd w:val="clear" w:fill="F2F2F2"/>
        </w:rPr>
        <w:t>SERIAL</w:t>
      </w:r>
      <w:r>
        <w:rPr>
          <w:color w:val="0A0A0A"/>
          <w:sz w:val="21"/>
        </w:rPr>
        <w:t>). Parte do código antigo permaneceu como *scaffolding* não conectado.</w:t>
      </w:r>
    </w:p>
    <w:p>
      <w:pPr>
        <w:jc w:val="both"/>
      </w:pPr>
      <w:r>
        <w:rPr>
          <w:color w:val="0A0A0A"/>
          <w:sz w:val="21"/>
        </w:rPr>
        <w:t xml:space="preserve">O caminho de execução real é sempre: </w:t>
      </w:r>
      <w:r>
        <w:rPr>
          <w:b/>
          <w:color w:val="0A0A0A"/>
          <w:sz w:val="21"/>
        </w:rPr>
        <w:t>router → caso de uso → repositório concreto → view do banco</w:t>
      </w:r>
      <w:r>
        <w:rPr>
          <w:color w:val="0A0A0A"/>
          <w:sz w:val="21"/>
        </w:rPr>
        <w:t xml:space="preserve">. Um arquivo que não é alcançável a partir de um router incluído em </w:t>
      </w:r>
      <w:r>
        <w:rPr>
          <w:rFonts w:ascii="Consolas" w:hAnsi="Consolas"/>
          <w:color w:val="1F1F1F"/>
          <w:sz w:val="19"/>
          <w:shd w:val="clear" w:fill="F2F2F2"/>
        </w:rPr>
        <w:t>main.py</w:t>
      </w:r>
      <w:r>
        <w:rPr>
          <w:color w:val="0A0A0A"/>
          <w:sz w:val="21"/>
        </w:rPr>
        <w:t xml:space="preserve"> não roda em produção.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5.1 Componentes ativos</w:t>
      </w:r>
    </w:p>
    <w:p>
      <w:pPr>
        <w:jc w:val="both"/>
      </w:pPr>
      <w:r>
        <w:rPr>
          <w:rFonts w:ascii="Consolas" w:hAnsi="Consolas"/>
          <w:color w:val="1F1F1F"/>
          <w:sz w:val="19"/>
          <w:shd w:val="clear" w:fill="F2F2F2"/>
        </w:rPr>
        <w:t>app/main.py</w:t>
      </w:r>
      <w:r>
        <w:rPr>
          <w:color w:val="0A0A0A"/>
          <w:sz w:val="21"/>
        </w:rPr>
        <w:t xml:space="preserve">; todos os routers de </w:t>
      </w:r>
      <w:r>
        <w:rPr>
          <w:rFonts w:ascii="Consolas" w:hAnsi="Consolas"/>
          <w:color w:val="1F1F1F"/>
          <w:sz w:val="19"/>
          <w:shd w:val="clear" w:fill="F2F2F2"/>
        </w:rPr>
        <w:t>presentation/api/v1/routers/</w:t>
      </w:r>
      <w:r>
        <w:rPr>
          <w:color w:val="0A0A0A"/>
          <w:sz w:val="21"/>
        </w:rPr>
        <w:t xml:space="preserve">; os schemas e o </w:t>
      </w:r>
      <w:r>
        <w:rPr>
          <w:rFonts w:ascii="Consolas" w:hAnsi="Consolas"/>
          <w:color w:val="1F1F1F"/>
          <w:sz w:val="19"/>
          <w:shd w:val="clear" w:fill="F2F2F2"/>
        </w:rPr>
        <w:t>masking.py</w:t>
      </w:r>
      <w:r>
        <w:rPr>
          <w:color w:val="0A0A0A"/>
          <w:sz w:val="21"/>
        </w:rPr>
        <w:t xml:space="preserve">; todos os casos de uso de </w:t>
      </w:r>
      <w:r>
        <w:rPr>
          <w:rFonts w:ascii="Consolas" w:hAnsi="Consolas"/>
          <w:color w:val="1F1F1F"/>
          <w:sz w:val="19"/>
          <w:shd w:val="clear" w:fill="F2F2F2"/>
        </w:rPr>
        <w:t>application/use_cases/</w:t>
      </w:r>
      <w:r>
        <w:rPr>
          <w:color w:val="0A0A0A"/>
          <w:sz w:val="21"/>
        </w:rPr>
        <w:t xml:space="preserve">; os DTOs de anamnese; as entidades </w:t>
      </w:r>
      <w:r>
        <w:rPr>
          <w:rFonts w:ascii="Consolas" w:hAnsi="Consolas"/>
          <w:color w:val="1F1F1F"/>
          <w:sz w:val="19"/>
          <w:shd w:val="clear" w:fill="F2F2F2"/>
        </w:rPr>
        <w:t>Patient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Acompanhante</w:t>
      </w:r>
      <w:r>
        <w:rPr>
          <w:color w:val="0A0A0A"/>
          <w:sz w:val="21"/>
        </w:rPr>
        <w:t xml:space="preserve"> e o objeto de valor </w:t>
      </w:r>
      <w:r>
        <w:rPr>
          <w:rFonts w:ascii="Consolas" w:hAnsi="Consolas"/>
          <w:color w:val="1F1F1F"/>
          <w:sz w:val="19"/>
          <w:shd w:val="clear" w:fill="F2F2F2"/>
        </w:rPr>
        <w:t>CPF</w:t>
      </w:r>
      <w:r>
        <w:rPr>
          <w:color w:val="0A0A0A"/>
          <w:sz w:val="21"/>
        </w:rPr>
        <w:t xml:space="preserve">; o </w:t>
      </w:r>
      <w:r>
        <w:rPr>
          <w:rFonts w:ascii="Consolas" w:hAnsi="Consolas"/>
          <w:color w:val="1F1F1F"/>
          <w:sz w:val="19"/>
          <w:shd w:val="clear" w:fill="F2F2F2"/>
        </w:rPr>
        <w:t>SymptomScoringOrchestrator</w:t>
      </w:r>
      <w:r>
        <w:rPr>
          <w:color w:val="0A0A0A"/>
          <w:sz w:val="21"/>
        </w:rPr>
        <w:t xml:space="preserve">; todos os repositórios concretos de </w:t>
      </w:r>
      <w:r>
        <w:rPr>
          <w:rFonts w:ascii="Consolas" w:hAnsi="Consolas"/>
          <w:color w:val="1F1F1F"/>
          <w:sz w:val="19"/>
          <w:shd w:val="clear" w:fill="F2F2F2"/>
        </w:rPr>
        <w:t>interfaces/repositories/</w:t>
      </w:r>
      <w:r>
        <w:rPr>
          <w:color w:val="0A0A0A"/>
          <w:sz w:val="21"/>
        </w:rPr>
        <w:t xml:space="preserve">; o guarda </w:t>
      </w:r>
      <w:r>
        <w:rPr>
          <w:rFonts w:ascii="Consolas" w:hAnsi="Consolas"/>
          <w:color w:val="1F1F1F"/>
          <w:sz w:val="19"/>
          <w:shd w:val="clear" w:fill="F2F2F2"/>
        </w:rPr>
        <w:t>get_current_doctor</w:t>
      </w:r>
      <w:r>
        <w:rPr>
          <w:color w:val="0A0A0A"/>
          <w:sz w:val="21"/>
        </w:rPr>
        <w:t>/</w:t>
      </w:r>
      <w:r>
        <w:rPr>
          <w:rFonts w:ascii="Consolas" w:hAnsi="Consolas"/>
          <w:color w:val="1F1F1F"/>
          <w:sz w:val="19"/>
          <w:shd w:val="clear" w:fill="F2F2F2"/>
        </w:rPr>
        <w:t>get_current_admin</w:t>
      </w:r>
      <w:r>
        <w:rPr>
          <w:color w:val="0A0A0A"/>
          <w:sz w:val="21"/>
        </w:rPr>
        <w:t xml:space="preserve">; </w:t>
      </w:r>
      <w:r>
        <w:rPr>
          <w:rFonts w:ascii="Consolas" w:hAnsi="Consolas"/>
          <w:color w:val="1F1F1F"/>
          <w:sz w:val="19"/>
          <w:shd w:val="clear" w:fill="F2F2F2"/>
        </w:rPr>
        <w:t>core/config.py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core/security.py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core/exceptions.py</w:t>
      </w:r>
      <w:r>
        <w:rPr>
          <w:color w:val="0A0A0A"/>
          <w:sz w:val="21"/>
        </w:rPr>
        <w:t xml:space="preserve">; </w:t>
      </w:r>
      <w:r>
        <w:rPr>
          <w:rFonts w:ascii="Consolas" w:hAnsi="Consolas"/>
          <w:color w:val="1F1F1F"/>
          <w:sz w:val="19"/>
          <w:shd w:val="clear" w:fill="F2F2F2"/>
        </w:rPr>
        <w:t>db/database.py</w:t>
      </w:r>
      <w:r>
        <w:rPr>
          <w:color w:val="0A0A0A"/>
          <w:sz w:val="21"/>
        </w:rPr>
        <w:t xml:space="preserve">; e </w:t>
      </w:r>
      <w:r>
        <w:rPr>
          <w:rFonts w:ascii="Consolas" w:hAnsi="Consolas"/>
          <w:color w:val="1F1F1F"/>
          <w:sz w:val="19"/>
          <w:shd w:val="clear" w:fill="F2F2F2"/>
        </w:rPr>
        <w:t>services/auth_service.py</w:t>
      </w:r>
      <w:r>
        <w:rPr>
          <w:color w:val="0A0A0A"/>
          <w:sz w:val="21"/>
        </w:rPr>
        <w:t>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5.2 Componentes legados ou órfãos</w:t>
      </w:r>
    </w:p>
    <w:p>
      <w:pPr>
        <w:jc w:val="both"/>
      </w:pPr>
      <w:r>
        <w:rPr>
          <w:color w:val="0A0A0A"/>
          <w:sz w:val="21"/>
        </w:rPr>
        <w:t xml:space="preserve">Os protocolos de </w:t>
      </w:r>
      <w:r>
        <w:rPr>
          <w:rFonts w:ascii="Consolas" w:hAnsi="Consolas"/>
          <w:color w:val="1F1F1F"/>
          <w:sz w:val="19"/>
          <w:shd w:val="clear" w:fill="F2F2F2"/>
        </w:rPr>
        <w:t>domain/ports/</w:t>
      </w:r>
      <w:r>
        <w:rPr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fill="F2F2F2"/>
        </w:rPr>
        <w:t>IPatientRepository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IEvaluationRepository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IChecklistResponseRepository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ISymptomRepository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IUserRepository</w:t>
      </w:r>
      <w:r>
        <w:rPr>
          <w:color w:val="0A0A0A"/>
          <w:sz w:val="21"/>
        </w:rPr>
        <w:t xml:space="preserve">) e as entidades </w:t>
      </w:r>
      <w:r>
        <w:rPr>
          <w:rFonts w:ascii="Consolas" w:hAnsi="Consolas"/>
          <w:color w:val="1F1F1F"/>
          <w:sz w:val="19"/>
          <w:shd w:val="clear" w:fill="F2F2F2"/>
        </w:rPr>
        <w:t>Evaluation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ChecklistResponse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Symptom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User</w:t>
      </w:r>
      <w:r>
        <w:rPr>
          <w:color w:val="0A0A0A"/>
          <w:sz w:val="21"/>
        </w:rPr>
        <w:t xml:space="preserve"> existem e importam corretamente, mas </w:t>
      </w:r>
      <w:r>
        <w:rPr>
          <w:b/>
          <w:color w:val="0A0A0A"/>
          <w:sz w:val="21"/>
        </w:rPr>
        <w:t>nenhum router ou caso de uso ativo os utiliza</w:t>
      </w:r>
      <w:r>
        <w:rPr>
          <w:color w:val="0A0A0A"/>
          <w:sz w:val="21"/>
        </w:rPr>
        <w:t xml:space="preserve">. São resquícios do back-end antigo, modelados com UUID. A regra prática: se um arquivo de domínio usa </w:t>
      </w:r>
      <w:r>
        <w:rPr>
          <w:rFonts w:ascii="Consolas" w:hAnsi="Consolas"/>
          <w:color w:val="1F1F1F"/>
          <w:sz w:val="19"/>
          <w:shd w:val="clear" w:fill="F2F2F2"/>
        </w:rPr>
        <w:t>id: UUID</w:t>
      </w:r>
      <w:r>
        <w:rPr>
          <w:color w:val="0A0A0A"/>
          <w:sz w:val="21"/>
        </w:rPr>
        <w:t xml:space="preserve">, trata-se de código legado. Ao estudar o sistema, esses arquivos podem ser ignorados; ao implementar algo novo, deve-se seguir o padrão ativo (entidade simples + DTO + repositório concreto com </w:t>
      </w:r>
      <w:r>
        <w:rPr>
          <w:rFonts w:ascii="Consolas" w:hAnsi="Consolas"/>
          <w:color w:val="1F1F1F"/>
          <w:sz w:val="19"/>
          <w:shd w:val="clear" w:fill="F2F2F2"/>
        </w:rPr>
        <w:t>int</w:t>
      </w:r>
      <w:r>
        <w:rPr>
          <w:color w:val="0A0A0A"/>
          <w:sz w:val="21"/>
        </w:rPr>
        <w:t>).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6. Modelo de dados</w:t>
      </w:r>
    </w:p>
    <w:p>
      <w:pPr>
        <w:jc w:val="both"/>
      </w:pPr>
      <w:r>
        <w:rPr>
          <w:color w:val="0A0A0A"/>
          <w:sz w:val="21"/>
        </w:rPr>
        <w:t>O banco foi desenhado em torno de dois princípios: conformidade com a LGPD (dados pessoais cifrados em repouso) e auditabilidade completa (toda ação relevante deixa rastro). Os dados se organizam em três camadas.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FISICA  (tb_*)   -&gt;  guarda dados CIFRADOS (BYTEA) e hashes   &lt;- back NAO acessa direto</w:t>
        <w:br/>
        <w:t xml:space="preserve">   ^ trigger INSTEAD OF cifra no INSERT</w:t>
        <w:br/>
        <w:t>LOGICA  (views)  -&gt;  decifram em runtime (pgp_sym_decrypt)     &lt;- back acessa SO aqui</w:t>
        <w:br/>
        <w:t>RELATORIO        -&gt;  vw_dashboard_anonimizado (sem dado pessoal) &lt;- BI / dashboard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6.1 Tabelas físicas principais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Papel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Dado pessoal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usuarios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Médicos e administradores (raiz de autoria); senha em bcrypt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senha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tb_pacientes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Núcleo clínico e demográfico;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nome_criptografado</w:t>
            </w:r>
            <w:r>
              <w:rPr>
                <w:color w:val="0A0A0A"/>
                <w:sz w:val="19"/>
              </w:rPr>
              <w:t xml:space="preserve"> (BYTEA),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cpf_hash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sim (cifrada)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tb_acompanhantes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Responsável/cuidador; mesmo padrão de proteção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sim (cifrada)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tb_avaliacoes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Sessões de triagem;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score_final</w:t>
            </w:r>
            <w:r>
              <w:rPr>
                <w:color w:val="0A0A0A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status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não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sintomas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Catálogo de 12 sintomas com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peso</w:t>
            </w:r>
            <w:r>
              <w:rPr>
                <w:color w:val="0A0A0A"/>
                <w:sz w:val="19"/>
              </w:rPr>
              <w:t xml:space="preserve"> e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peso_feminino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não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parametro_triagem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Limiares por sexo (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limiar_score</w:t>
            </w:r>
            <w:r>
              <w:rPr>
                <w:color w:val="0A0A0A"/>
                <w:sz w:val="19"/>
              </w:rPr>
              <w:t>), AUC, versão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não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respostas_checklist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Tabela associativa avaliação × sintoma (PK composta)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não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tb_historico_familiar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Achados hereditários (1 por avaliação)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não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tb_encaminhamentos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Encaminhamentos (ex.: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exame_fmr1</w:t>
            </w:r>
            <w:r>
              <w:rPr>
                <w:color w:val="0A0A0A"/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não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tb_agendamentos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Agenda de compromissos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não</w:t>
            </w:r>
          </w:p>
        </w:tc>
      </w:tr>
    </w:tbl>
    <w:p>
      <w:pPr>
        <w:jc w:val="both"/>
      </w:pPr>
      <w:r>
        <w:rPr>
          <w:color w:val="0A0A0A"/>
          <w:sz w:val="21"/>
        </w:rPr>
        <w:t xml:space="preserve">As tabelas de auditoria — </w:t>
      </w:r>
      <w:r>
        <w:rPr>
          <w:rFonts w:ascii="Consolas" w:hAnsi="Consolas"/>
          <w:color w:val="1F1F1F"/>
          <w:sz w:val="19"/>
          <w:shd w:val="clear" w:fill="F2F2F2"/>
        </w:rPr>
        <w:t>tb_log_sessoes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tb_log_tentativas_login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tb_log_analises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tb_auditoria</w:t>
      </w:r>
      <w:r>
        <w:rPr>
          <w:color w:val="0A0A0A"/>
          <w:sz w:val="21"/>
        </w:rPr>
        <w:t xml:space="preserve"> — são *append-only*: aceitam apenas INSERT, com UPDATE e DELETE revogados, garantindo histórico imutável.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6.2 Views — a camada lógica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View</w:t>
            </w:r>
          </w:p>
        </w:tc>
        <w:tc>
          <w:tcPr>
            <w:tcW w:type="dxa" w:w="2412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Sobre</w:t>
            </w:r>
          </w:p>
        </w:tc>
        <w:tc>
          <w:tcPr>
            <w:tcW w:type="dxa" w:w="2412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Leitura</w:t>
            </w:r>
          </w:p>
        </w:tc>
        <w:tc>
          <w:tcPr>
            <w:tcW w:type="dxa" w:w="2412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Escrita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pacientes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tb_pacientes</w:t>
            </w:r>
            <w:r>
              <w:rPr>
                <w:color w:val="0A0A0A"/>
                <w:sz w:val="19"/>
              </w:rPr>
              <w:t xml:space="preserve"> + LEFT JOIN acompanhante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nome</w:t>
            </w:r>
            <w:r>
              <w:rPr>
                <w:color w:val="0A0A0A"/>
                <w:sz w:val="19"/>
              </w:rPr>
              <w:t xml:space="preserve"> decifrado,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idade_anos</w:t>
            </w:r>
            <w:r>
              <w:rPr>
                <w:color w:val="0A0A0A"/>
                <w:sz w:val="19"/>
              </w:rPr>
              <w:t xml:space="preserve"> calculada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trigger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INSTEAD OF INSERT</w:t>
            </w:r>
            <w:r>
              <w:rPr>
                <w:color w:val="0A0A0A"/>
                <w:sz w:val="19"/>
              </w:rPr>
              <w:t xml:space="preserve"> (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fn_pacientes_insert</w:t>
            </w:r>
            <w:r>
              <w:rPr>
                <w:color w:val="0A0A0A"/>
                <w:sz w:val="19"/>
              </w:rPr>
              <w:t>) cifra o nome</w:t>
            </w:r>
          </w:p>
        </w:tc>
      </w:tr>
      <w:tr>
        <w:tc>
          <w:tcPr>
            <w:tcW w:type="dxa" w:w="2412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acompanhantes</w:t>
            </w:r>
          </w:p>
        </w:tc>
        <w:tc>
          <w:tcPr>
            <w:tcW w:type="dxa" w:w="2412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tb_acompanhantes</w:t>
            </w:r>
          </w:p>
        </w:tc>
        <w:tc>
          <w:tcPr>
            <w:tcW w:type="dxa" w:w="2412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nome</w:t>
            </w:r>
            <w:r>
              <w:rPr>
                <w:color w:val="0A0A0A"/>
                <w:sz w:val="19"/>
              </w:rPr>
              <w:t xml:space="preserve"> decifrado</w:t>
            </w:r>
          </w:p>
        </w:tc>
        <w:tc>
          <w:tcPr>
            <w:tcW w:type="dxa" w:w="2412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trigger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fn_acompanhantes_insert</w:t>
            </w:r>
            <w:r>
              <w:rPr>
                <w:color w:val="0A0A0A"/>
                <w:sz w:val="19"/>
              </w:rPr>
              <w:t xml:space="preserve"> cifra o nome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avaliacoes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tb_avaliacoes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+ coluna calculada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recomenda_exame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somente leitura</w:t>
            </w:r>
          </w:p>
        </w:tc>
      </w:tr>
      <w:tr>
        <w:tc>
          <w:tcPr>
            <w:tcW w:type="dxa" w:w="2412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vw_dashboard_anonimizado</w:t>
            </w:r>
            <w:r>
              <w:rPr>
                <w:color w:val="0A0A0A"/>
                <w:sz w:val="19"/>
              </w:rPr>
              <w:t xml:space="preserve"> (materializada)</w:t>
            </w:r>
          </w:p>
        </w:tc>
        <w:tc>
          <w:tcPr>
            <w:tcW w:type="dxa" w:w="2412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agregações</w:t>
            </w:r>
          </w:p>
        </w:tc>
        <w:tc>
          <w:tcPr>
            <w:tcW w:type="dxa" w:w="2412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sem dado pessoal</w:t>
            </w:r>
          </w:p>
        </w:tc>
        <w:tc>
          <w:tcPr>
            <w:tcW w:type="dxa" w:w="2412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refresh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CONCURRENTLY</w:t>
            </w:r>
            <w:r>
              <w:rPr>
                <w:color w:val="0A0A0A"/>
                <w:sz w:val="19"/>
              </w:rPr>
              <w:t xml:space="preserve"> (admin)</w:t>
            </w:r>
          </w:p>
        </w:tc>
      </w:tr>
    </w:tbl>
    <w:p>
      <w:pPr>
        <w:jc w:val="both"/>
      </w:pPr>
      <w:r>
        <w:rPr>
          <w:color w:val="0A0A0A"/>
          <w:sz w:val="21"/>
        </w:rPr>
        <w:t xml:space="preserve">A coluna calculada </w:t>
      </w:r>
      <w:r>
        <w:rPr>
          <w:rFonts w:ascii="Consolas" w:hAnsi="Consolas"/>
          <w:color w:val="1F1F1F"/>
          <w:sz w:val="19"/>
          <w:shd w:val="clear" w:fill="F2F2F2"/>
        </w:rPr>
        <w:t>recomenda_exame</w:t>
      </w:r>
      <w:r>
        <w:rPr>
          <w:color w:val="0A0A0A"/>
          <w:sz w:val="21"/>
        </w:rPr>
        <w:t xml:space="preserve">, exposta pela view </w:t>
      </w:r>
      <w:r>
        <w:rPr>
          <w:rFonts w:ascii="Consolas" w:hAnsi="Consolas"/>
          <w:color w:val="1F1F1F"/>
          <w:sz w:val="19"/>
          <w:shd w:val="clear" w:fill="F2F2F2"/>
        </w:rPr>
        <w:t>avaliacoes</w:t>
      </w:r>
      <w:r>
        <w:rPr>
          <w:color w:val="0A0A0A"/>
          <w:sz w:val="21"/>
        </w:rPr>
        <w:t>, é uma dependência crítica do back-end (ADR-0005): a lista enriquecida de pacientes, o histórico e o resumo do dashboard a consomem. Sua regra de cálculo é tratada na seção 7.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6.3 Funções e gatilhos relevantes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Papel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fn_calcular_score_triagem(avaliacao_id)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RPC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Calcula o escore, finaliza a avaliação e registra a análise. Coração da triagem.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fn_registrar_auditoria(...)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RPC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Grava em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tb_auditoria</w:t>
            </w:r>
            <w:r>
              <w:rPr>
                <w:color w:val="0A0A0A"/>
                <w:sz w:val="19"/>
              </w:rPr>
              <w:t xml:space="preserve"> (best-effort no back-end)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fn_pacientes_insert()</w:t>
            </w:r>
            <w:r>
              <w:rPr>
                <w:color w:val="0A0A0A"/>
                <w:sz w:val="19"/>
              </w:rPr>
              <w:t xml:space="preserve"> /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fn_acompanhantes_insert()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trigger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Cifram o nome no INSERT das views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fn_set_updated_at()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trigger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Mantém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atualizado_em</w:t>
            </w:r>
          </w:p>
        </w:tc>
      </w:tr>
    </w:tbl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7. O fluxo central: submissão de anamnese</w:t>
      </w:r>
    </w:p>
    <w:p>
      <w:pPr>
        <w:jc w:val="both"/>
      </w:pPr>
      <w:r>
        <w:rPr>
          <w:color w:val="0A0A0A"/>
          <w:sz w:val="21"/>
        </w:rPr>
        <w:t xml:space="preserve">A submissão de anamnese é o coração clínico do sistema. Por decisão de arquitetura (ADR-0004), foi consolidada num único endpoint: </w:t>
      </w:r>
      <w:r>
        <w:rPr>
          <w:rFonts w:ascii="Consolas" w:hAnsi="Consolas"/>
          <w:color w:val="1F1F1F"/>
          <w:sz w:val="19"/>
          <w:shd w:val="clear" w:fill="F2F2F2"/>
        </w:rPr>
        <w:t>POST /api/v1/avaliacoes</w:t>
      </w:r>
      <w:r>
        <w:rPr>
          <w:color w:val="0A0A0A"/>
          <w:sz w:val="21"/>
        </w:rPr>
        <w:t>. O front-end envia um único payload contendo o checklist de sintomas e o histórico familiar; o back-end executa todo o fluxo em uma transação.</w:t>
      </w:r>
    </w:p>
    <w:p>
      <w:pPr>
        <w:jc w:val="both"/>
      </w:pPr>
      <w:r>
        <w:rPr>
          <w:color w:val="0A0A0A"/>
          <w:sz w:val="21"/>
        </w:rPr>
        <w:t xml:space="preserve">O caso de uso </w:t>
      </w:r>
      <w:r>
        <w:rPr>
          <w:rFonts w:ascii="Consolas" w:hAnsi="Consolas"/>
          <w:color w:val="1F1F1F"/>
          <w:sz w:val="19"/>
          <w:shd w:val="clear" w:fill="F2F2F2"/>
        </w:rPr>
        <w:t>SubmitAnamnesisUseCase</w:t>
      </w:r>
      <w:r>
        <w:rPr>
          <w:color w:val="0A0A0A"/>
          <w:sz w:val="21"/>
        </w:rPr>
        <w:t xml:space="preserve"> sequencia os seguintes passos, todos na mesma </w:t>
      </w:r>
      <w:r>
        <w:rPr>
          <w:rFonts w:ascii="Consolas" w:hAnsi="Consolas"/>
          <w:color w:val="1F1F1F"/>
          <w:sz w:val="19"/>
          <w:shd w:val="clear" w:fill="F2F2F2"/>
        </w:rPr>
        <w:t>AsyncSession</w:t>
      </w:r>
      <w:r>
        <w:rPr>
          <w:color w:val="0A0A0A"/>
          <w:sz w:val="21"/>
        </w:rPr>
        <w:t xml:space="preserve"> (unidade de trabalho):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1. </w:t>
      </w:r>
      <w:r>
        <w:rPr>
          <w:color w:val="0A0A0A"/>
          <w:sz w:val="21"/>
        </w:rPr>
        <w:t xml:space="preserve">Cria a avaliação em estado </w:t>
      </w:r>
      <w:r>
        <w:rPr>
          <w:rFonts w:ascii="Consolas" w:hAnsi="Consolas"/>
          <w:color w:val="1F1F1F"/>
          <w:sz w:val="19"/>
          <w:shd w:val="clear" w:fill="F2F2F2"/>
        </w:rPr>
        <w:t>rascunho</w:t>
      </w:r>
      <w:r>
        <w:rPr>
          <w:color w:val="0A0A0A"/>
          <w:sz w:val="21"/>
        </w:rPr>
        <w:t xml:space="preserve"> (</w:t>
      </w:r>
      <w:r>
        <w:rPr>
          <w:rFonts w:ascii="Consolas" w:hAnsi="Consolas"/>
          <w:color w:val="1F1F1F"/>
          <w:sz w:val="19"/>
          <w:shd w:val="clear" w:fill="F2F2F2"/>
        </w:rPr>
        <w:t>AvaliacaoRepository.create_rascunho</w:t>
      </w:r>
      <w:r>
        <w:rPr>
          <w:color w:val="0A0A0A"/>
          <w:sz w:val="21"/>
        </w:rPr>
        <w:t>).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2. </w:t>
      </w:r>
      <w:r>
        <w:rPr>
          <w:color w:val="0A0A0A"/>
          <w:sz w:val="21"/>
        </w:rPr>
        <w:t>Registra o acompanhante presente nesta visita (modelo de acompanhante por visita).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3. </w:t>
      </w:r>
      <w:r>
        <w:rPr>
          <w:color w:val="0A0A0A"/>
          <w:sz w:val="21"/>
        </w:rPr>
        <w:t xml:space="preserve">Abre um registro em </w:t>
      </w:r>
      <w:r>
        <w:rPr>
          <w:rFonts w:ascii="Consolas" w:hAnsi="Consolas"/>
          <w:color w:val="1F1F1F"/>
          <w:sz w:val="19"/>
          <w:shd w:val="clear" w:fill="F2F2F2"/>
        </w:rPr>
        <w:t>tb_log_analises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4. </w:t>
      </w:r>
      <w:r>
        <w:rPr>
          <w:color w:val="0A0A0A"/>
          <w:sz w:val="21"/>
        </w:rPr>
        <w:t xml:space="preserve">Insere as respostas do checklist em </w:t>
      </w:r>
      <w:r>
        <w:rPr>
          <w:rFonts w:ascii="Consolas" w:hAnsi="Consolas"/>
          <w:color w:val="1F1F1F"/>
          <w:sz w:val="19"/>
          <w:shd w:val="clear" w:fill="F2F2F2"/>
        </w:rPr>
        <w:t>respostas_checklist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5. </w:t>
      </w:r>
      <w:r>
        <w:rPr>
          <w:color w:val="0A0A0A"/>
          <w:sz w:val="21"/>
        </w:rPr>
        <w:t xml:space="preserve">Insere o histórico familiar em </w:t>
      </w:r>
      <w:r>
        <w:rPr>
          <w:rFonts w:ascii="Consolas" w:hAnsi="Consolas"/>
          <w:color w:val="1F1F1F"/>
          <w:sz w:val="19"/>
          <w:shd w:val="clear" w:fill="F2F2F2"/>
        </w:rPr>
        <w:t>tb_historico_familiar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6. </w:t>
      </w:r>
      <w:r>
        <w:rPr>
          <w:color w:val="0A0A0A"/>
          <w:sz w:val="21"/>
        </w:rPr>
        <w:t xml:space="preserve">Delega o cálculo do escore à função do banco </w:t>
      </w:r>
      <w:r>
        <w:rPr>
          <w:rFonts w:ascii="Consolas" w:hAnsi="Consolas"/>
          <w:color w:val="1F1F1F"/>
          <w:sz w:val="19"/>
          <w:shd w:val="clear" w:fill="F2F2F2"/>
        </w:rPr>
        <w:t>fn_calcular_score_triagem</w:t>
      </w:r>
      <w:r>
        <w:rPr>
          <w:color w:val="0A0A0A"/>
          <w:sz w:val="21"/>
        </w:rPr>
        <w:t xml:space="preserve">, via </w:t>
      </w:r>
      <w:r>
        <w:rPr>
          <w:rFonts w:ascii="Consolas" w:hAnsi="Consolas"/>
          <w:color w:val="1F1F1F"/>
          <w:sz w:val="19"/>
          <w:shd w:val="clear" w:fill="F2F2F2"/>
        </w:rPr>
        <w:t>SymptomScoringOrchestrator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7. </w:t>
      </w:r>
      <w:r>
        <w:rPr>
          <w:color w:val="0A0A0A"/>
          <w:sz w:val="21"/>
        </w:rPr>
        <w:t xml:space="preserve">Quando o exame é recomendado, cria o encaminhamento automático </w:t>
      </w:r>
      <w:r>
        <w:rPr>
          <w:rFonts w:ascii="Consolas" w:hAnsi="Consolas"/>
          <w:color w:val="1F1F1F"/>
          <w:sz w:val="19"/>
          <w:shd w:val="clear" w:fill="F2F2F2"/>
        </w:rPr>
        <w:t>exame_fmr1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/>
          <w:color w:val="1F1F1F"/>
          <w:sz w:val="21"/>
        </w:rPr>
        <w:t xml:space="preserve">8. </w:t>
      </w:r>
      <w:r>
        <w:rPr>
          <w:color w:val="0A0A0A"/>
          <w:sz w:val="21"/>
        </w:rPr>
        <w:t>Registra uma entrada de auditoria (</w:t>
      </w:r>
      <w:r>
        <w:rPr>
          <w:rFonts w:ascii="Consolas" w:hAnsi="Consolas"/>
          <w:color w:val="1F1F1F"/>
          <w:sz w:val="19"/>
          <w:shd w:val="clear" w:fill="F2F2F2"/>
        </w:rPr>
        <w:t>AVALIACAO_FINALIZADA</w:t>
      </w:r>
      <w:r>
        <w:rPr>
          <w:color w:val="0A0A0A"/>
          <w:sz w:val="21"/>
        </w:rPr>
        <w:t>), em modo best-effort.</w:t>
      </w:r>
    </w:p>
    <w:p>
      <w:pPr>
        <w:jc w:val="both"/>
      </w:pPr>
      <w:r>
        <w:rPr>
          <w:color w:val="0A0A0A"/>
          <w:sz w:val="21"/>
        </w:rPr>
        <w:t xml:space="preserve">A atomicidade vem da </w:t>
      </w:r>
      <w:r>
        <w:rPr>
          <w:rFonts w:ascii="Consolas" w:hAnsi="Consolas"/>
          <w:color w:val="1F1F1F"/>
          <w:sz w:val="19"/>
          <w:shd w:val="clear" w:fill="F2F2F2"/>
        </w:rPr>
        <w:t>AsyncSession</w:t>
      </w:r>
      <w:r>
        <w:rPr>
          <w:color w:val="0A0A0A"/>
          <w:sz w:val="21"/>
        </w:rPr>
        <w:t xml:space="preserve"> injetada por requisição: </w:t>
      </w:r>
      <w:r>
        <w:rPr>
          <w:rFonts w:ascii="Consolas" w:hAnsi="Consolas"/>
          <w:color w:val="1F1F1F"/>
          <w:sz w:val="19"/>
          <w:shd w:val="clear" w:fill="F2F2F2"/>
        </w:rPr>
        <w:t>get_db_session</w:t>
      </w:r>
      <w:r>
        <w:rPr>
          <w:color w:val="0A0A0A"/>
          <w:sz w:val="21"/>
        </w:rPr>
        <w:t xml:space="preserve"> faz </w:t>
      </w:r>
      <w:r>
        <w:rPr>
          <w:rFonts w:ascii="Consolas" w:hAnsi="Consolas"/>
          <w:color w:val="1F1F1F"/>
          <w:sz w:val="19"/>
          <w:shd w:val="clear" w:fill="F2F2F2"/>
        </w:rPr>
        <w:t>commit()</w:t>
      </w:r>
      <w:r>
        <w:rPr>
          <w:color w:val="0A0A0A"/>
          <w:sz w:val="21"/>
        </w:rPr>
        <w:t xml:space="preserve"> ao final ou </w:t>
      </w:r>
      <w:r>
        <w:rPr>
          <w:rFonts w:ascii="Consolas" w:hAnsi="Consolas"/>
          <w:color w:val="1F1F1F"/>
          <w:sz w:val="19"/>
          <w:shd w:val="clear" w:fill="F2F2F2"/>
        </w:rPr>
        <w:t>rollback()</w:t>
      </w:r>
      <w:r>
        <w:rPr>
          <w:color w:val="0A0A0A"/>
          <w:sz w:val="21"/>
        </w:rPr>
        <w:t xml:space="preserve"> em qualquer exceção. Se um passo intermediário falhar, os anteriores são desfeitos juntos.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7.1 O cálculo do escore vive no banco</w:t>
      </w:r>
    </w:p>
    <w:p>
      <w:pPr>
        <w:jc w:val="both"/>
      </w:pPr>
      <w:r>
        <w:rPr>
          <w:color w:val="0A0A0A"/>
          <w:sz w:val="21"/>
        </w:rPr>
        <w:t xml:space="preserve">O </w:t>
      </w:r>
      <w:r>
        <w:rPr>
          <w:rFonts w:ascii="Consolas" w:hAnsi="Consolas"/>
          <w:color w:val="1F1F1F"/>
          <w:sz w:val="19"/>
          <w:shd w:val="clear" w:fill="F2F2F2"/>
        </w:rPr>
        <w:t>SymptomScoringOrchestrator</w:t>
      </w:r>
      <w:r>
        <w:rPr>
          <w:color w:val="0A0A0A"/>
          <w:sz w:val="21"/>
        </w:rPr>
        <w:t xml:space="preserve"> executa apenas </w:t>
      </w:r>
      <w:r>
        <w:rPr>
          <w:rFonts w:ascii="Consolas" w:hAnsi="Consolas"/>
          <w:color w:val="1F1F1F"/>
          <w:sz w:val="19"/>
          <w:shd w:val="clear" w:fill="F2F2F2"/>
        </w:rPr>
        <w:t>SELECT * FROM fn_calcular_score_triagem(:avaliacao_id)</w:t>
      </w:r>
      <w:r>
        <w:rPr>
          <w:color w:val="0A0A0A"/>
          <w:sz w:val="21"/>
        </w:rPr>
        <w:t xml:space="preserve"> e tipa o retorno. A função do banco, em uma única chamada atômica: lê as respostas do checklist; multiplica cada sintoma presente pelo peso correspondente ao sexo do paciente; soma para obter o </w:t>
      </w:r>
      <w:r>
        <w:rPr>
          <w:rFonts w:ascii="Consolas" w:hAnsi="Consolas"/>
          <w:color w:val="1F1F1F"/>
          <w:sz w:val="19"/>
          <w:shd w:val="clear" w:fill="F2F2F2"/>
        </w:rPr>
        <w:t>score_final</w:t>
      </w:r>
      <w:r>
        <w:rPr>
          <w:color w:val="0A0A0A"/>
          <w:sz w:val="21"/>
        </w:rPr>
        <w:t xml:space="preserve">; compara com o </w:t>
      </w:r>
      <w:r>
        <w:rPr>
          <w:rFonts w:ascii="Consolas" w:hAnsi="Consolas"/>
          <w:color w:val="1F1F1F"/>
          <w:sz w:val="19"/>
          <w:shd w:val="clear" w:fill="F2F2F2"/>
        </w:rPr>
        <w:t>limiar_score</w:t>
      </w:r>
      <w:r>
        <w:rPr>
          <w:color w:val="0A0A0A"/>
          <w:sz w:val="21"/>
        </w:rPr>
        <w:t xml:space="preserve"> vigente; grava a análise em </w:t>
      </w:r>
      <w:r>
        <w:rPr>
          <w:rFonts w:ascii="Consolas" w:hAnsi="Consolas"/>
          <w:color w:val="1F1F1F"/>
          <w:sz w:val="19"/>
          <w:shd w:val="clear" w:fill="F2F2F2"/>
        </w:rPr>
        <w:t>tb_log_analises</w:t>
      </w:r>
      <w:r>
        <w:rPr>
          <w:color w:val="0A0A0A"/>
          <w:sz w:val="21"/>
        </w:rPr>
        <w:t xml:space="preserve">; e atualiza </w:t>
      </w:r>
      <w:r>
        <w:rPr>
          <w:rFonts w:ascii="Consolas" w:hAnsi="Consolas"/>
          <w:color w:val="1F1F1F"/>
          <w:sz w:val="19"/>
          <w:shd w:val="clear" w:fill="F2F2F2"/>
        </w:rPr>
        <w:t>tb_avaliacoes</w:t>
      </w:r>
      <w:r>
        <w:rPr>
          <w:color w:val="0A0A0A"/>
          <w:sz w:val="21"/>
        </w:rPr>
        <w:t xml:space="preserve">, mudando o </w:t>
      </w:r>
      <w:r>
        <w:rPr>
          <w:rFonts w:ascii="Consolas" w:hAnsi="Consolas"/>
          <w:color w:val="1F1F1F"/>
          <w:sz w:val="19"/>
          <w:shd w:val="clear" w:fill="F2F2F2"/>
        </w:rPr>
        <w:t>status</w:t>
      </w:r>
      <w:r>
        <w:rPr>
          <w:color w:val="0A0A0A"/>
          <w:sz w:val="21"/>
        </w:rPr>
        <w:t xml:space="preserve"> para </w:t>
      </w:r>
      <w:r>
        <w:rPr>
          <w:rFonts w:ascii="Consolas" w:hAnsi="Consolas"/>
          <w:color w:val="1F1F1F"/>
          <w:sz w:val="19"/>
          <w:shd w:val="clear" w:fill="F2F2F2"/>
        </w:rPr>
        <w:t>finalizada</w:t>
      </w:r>
      <w:r>
        <w:rPr>
          <w:color w:val="0A0A0A"/>
          <w:sz w:val="21"/>
        </w:rPr>
        <w:t xml:space="preserve">. Por isso o caso de uso não define manualmente </w:t>
      </w:r>
      <w:r>
        <w:rPr>
          <w:rFonts w:ascii="Consolas" w:hAnsi="Consolas"/>
          <w:color w:val="1F1F1F"/>
          <w:sz w:val="19"/>
          <w:shd w:val="clear" w:fill="F2F2F2"/>
        </w:rPr>
        <w:t>status='finalizada'</w:t>
      </w:r>
      <w:r>
        <w:rPr>
          <w:color w:val="0A0A0A"/>
          <w:sz w:val="21"/>
        </w:rPr>
        <w:t xml:space="preserve"> — quem o faz é a função do banco.</w:t>
      </w:r>
    </w:p>
    <w:p>
      <w:pPr>
        <w:jc w:val="both"/>
      </w:pPr>
      <w:r>
        <w:rPr>
          <w:color w:val="0A0A0A"/>
          <w:sz w:val="21"/>
        </w:rPr>
        <w:t>A fórmula conceitual é:</w:t>
      </w:r>
    </w:p>
    <w:p>
      <w:pPr>
        <w:spacing w:before="80" w:after="160"/>
        <w:ind w:left="144"/>
        <w:shd w:val="clear" w:fill="F2F2F2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8"/>
        </w:rPr>
        <w:t>score_final = SOMA  peso(sintoma, sexo_do_paciente)   para cada sintoma "presente"</w:t>
        <w:br/>
        <w:br/>
        <w:t>recomenda_exame =</w:t>
        <w:br/>
        <w:t xml:space="preserve">    NULL                          se score_final ainda e NULL (nao finalizada)</w:t>
        <w:br/>
        <w:t xml:space="preserve">    false                         se diagnostico_previo_fxs = true</w:t>
        <w:br/>
        <w:t xml:space="preserve">    score_final &gt;= limiar(sexo)   caso contrario   (M: 0.56 · F: 0.55)</w:t>
      </w:r>
    </w:p>
    <w:p>
      <w:pPr>
        <w:jc w:val="both"/>
      </w:pPr>
      <w:r>
        <w:rPr>
          <w:color w:val="0A0A0A"/>
          <w:sz w:val="21"/>
        </w:rPr>
        <w:t xml:space="preserve">A view </w:t>
      </w:r>
      <w:r>
        <w:rPr>
          <w:rFonts w:ascii="Consolas" w:hAnsi="Consolas"/>
          <w:color w:val="1F1F1F"/>
          <w:sz w:val="19"/>
          <w:shd w:val="clear" w:fill="F2F2F2"/>
        </w:rPr>
        <w:t>avaliacoes</w:t>
      </w:r>
      <w:r>
        <w:rPr>
          <w:color w:val="0A0A0A"/>
          <w:sz w:val="21"/>
        </w:rPr>
        <w:t xml:space="preserve"> materializa a coluna </w:t>
      </w:r>
      <w:r>
        <w:rPr>
          <w:rFonts w:ascii="Consolas" w:hAnsi="Consolas"/>
          <w:color w:val="1F1F1F"/>
          <w:sz w:val="19"/>
          <w:shd w:val="clear" w:fill="F2F2F2"/>
        </w:rPr>
        <w:t>recomenda_exame</w:t>
      </w:r>
      <w:r>
        <w:rPr>
          <w:color w:val="0A0A0A"/>
          <w:sz w:val="21"/>
        </w:rPr>
        <w:t xml:space="preserve"> aplicando exatamente essa regra de decisão na consulta. Manter a lógica no banco garante uma fonte única da verdade (front, back e relatórios concordam), permite recalibrar pesos e limiares sem novo deploy (basta um UPDATE em </w:t>
      </w:r>
      <w:r>
        <w:rPr>
          <w:rFonts w:ascii="Consolas" w:hAnsi="Consolas"/>
          <w:color w:val="1F1F1F"/>
          <w:sz w:val="19"/>
          <w:shd w:val="clear" w:fill="F2F2F2"/>
        </w:rPr>
        <w:t>sintomas</w:t>
      </w:r>
      <w:r>
        <w:rPr>
          <w:color w:val="0A0A0A"/>
          <w:sz w:val="21"/>
        </w:rPr>
        <w:t>/</w:t>
      </w:r>
      <w:r>
        <w:rPr>
          <w:rFonts w:ascii="Consolas" w:hAnsi="Consolas"/>
          <w:color w:val="1F1F1F"/>
          <w:sz w:val="19"/>
          <w:shd w:val="clear" w:fill="F2F2F2"/>
        </w:rPr>
        <w:t>parametro_triagem</w:t>
      </w:r>
      <w:r>
        <w:rPr>
          <w:color w:val="0A0A0A"/>
          <w:sz w:val="21"/>
        </w:rPr>
        <w:t xml:space="preserve">), e preserva a auditabilidade (cada execução grava escore e versão do parâmetro em </w:t>
      </w:r>
      <w:r>
        <w:rPr>
          <w:rFonts w:ascii="Consolas" w:hAnsi="Consolas"/>
          <w:color w:val="1F1F1F"/>
          <w:sz w:val="19"/>
          <w:shd w:val="clear" w:fill="F2F2F2"/>
        </w:rPr>
        <w:t>tb_log_analises</w:t>
      </w:r>
      <w:r>
        <w:rPr>
          <w:color w:val="0A0A0A"/>
          <w:sz w:val="21"/>
        </w:rPr>
        <w:t>).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8. Arquitetura do front-end</w:t>
      </w:r>
    </w:p>
    <w:p>
      <w:pPr>
        <w:jc w:val="both"/>
      </w:pPr>
      <w:r>
        <w:rPr>
          <w:color w:val="0A0A0A"/>
          <w:sz w:val="21"/>
        </w:rPr>
        <w:t xml:space="preserve">O front-end não possuía documentação dedicada; esta seção foi derivada da análise direta de </w:t>
      </w:r>
      <w:r>
        <w:rPr>
          <w:rFonts w:ascii="Consolas" w:hAnsi="Consolas"/>
          <w:color w:val="1F1F1F"/>
          <w:sz w:val="19"/>
          <w:shd w:val="clear" w:fill="F2F2F2"/>
        </w:rPr>
        <w:t>frontend/</w:t>
      </w:r>
      <w:r>
        <w:rPr>
          <w:color w:val="0A0A0A"/>
          <w:sz w:val="21"/>
        </w:rPr>
        <w:t xml:space="preserve">. Trata-se de uma aplicação </w:t>
      </w:r>
      <w:r>
        <w:rPr>
          <w:b/>
          <w:color w:val="0A0A0A"/>
          <w:sz w:val="21"/>
        </w:rPr>
        <w:t>React sem empacotador</w:t>
      </w:r>
      <w:r>
        <w:rPr>
          <w:color w:val="0A0A0A"/>
          <w:sz w:val="21"/>
        </w:rPr>
        <w:t xml:space="preserve"> (*bundler*): não há etapa de build. Os arquivos são servidos estaticamente e transpilados no próprio navegador.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8.1 Modelo de carregamento</w:t>
      </w:r>
    </w:p>
    <w:p>
      <w:pPr>
        <w:jc w:val="both"/>
      </w:pPr>
      <w:r>
        <w:rPr>
          <w:color w:val="0A0A0A"/>
          <w:sz w:val="21"/>
        </w:rPr>
        <w:t xml:space="preserve">O </w:t>
      </w:r>
      <w:r>
        <w:rPr>
          <w:rFonts w:ascii="Consolas" w:hAnsi="Consolas"/>
          <w:color w:val="1F1F1F"/>
          <w:sz w:val="19"/>
          <w:shd w:val="clear" w:fill="F2F2F2"/>
        </w:rPr>
        <w:t>index.html</w:t>
      </w:r>
      <w:r>
        <w:rPr>
          <w:color w:val="0A0A0A"/>
          <w:sz w:val="21"/>
        </w:rPr>
        <w:t xml:space="preserve"> é o ponto de montagem. Ele carrega, via CDN: React e ReactDOM 18.3 (builds UMD de desenvolvimento), o Babel Standalone (que transpila os arquivos </w:t>
      </w:r>
      <w:r>
        <w:rPr>
          <w:rFonts w:ascii="Consolas" w:hAnsi="Consolas"/>
          <w:color w:val="1F1F1F"/>
          <w:sz w:val="19"/>
          <w:shd w:val="clear" w:fill="F2F2F2"/>
        </w:rPr>
        <w:t>.jsx</w:t>
      </w:r>
      <w:r>
        <w:rPr>
          <w:color w:val="0A0A0A"/>
          <w:sz w:val="21"/>
        </w:rPr>
        <w:t xml:space="preserve"> marcados como </w:t>
      </w:r>
      <w:r>
        <w:rPr>
          <w:rFonts w:ascii="Consolas" w:hAnsi="Consolas"/>
          <w:color w:val="1F1F1F"/>
          <w:sz w:val="19"/>
          <w:shd w:val="clear" w:fill="F2F2F2"/>
        </w:rPr>
        <w:t>type="text/babel"</w:t>
      </w:r>
      <w:r>
        <w:rPr>
          <w:color w:val="0A0A0A"/>
          <w:sz w:val="21"/>
        </w:rPr>
        <w:t xml:space="preserve"> em tempo de execução), o Tailwind CSS (Play CDN), o jsPDF (geração de laudo em PDF) e as fontes Geist. Em seguida, carrega na ordem correta os módulos da aplicação: o cliente de API, a biblioteca de ícones e *hooks*, os componentes compartilhados, os utilitários de foto, todas as páginas e, por fim, o *app shell* (</w:t>
      </w:r>
      <w:r>
        <w:rPr>
          <w:rFonts w:ascii="Consolas" w:hAnsi="Consolas"/>
          <w:color w:val="1F1F1F"/>
          <w:sz w:val="19"/>
          <w:shd w:val="clear" w:fill="F2F2F2"/>
        </w:rPr>
        <w:t>App.jsx</w:t>
      </w:r>
      <w:r>
        <w:rPr>
          <w:color w:val="0A0A0A"/>
          <w:sz w:val="21"/>
        </w:rPr>
        <w:t>).</w:t>
      </w:r>
    </w:p>
    <w:p>
      <w:pPr>
        <w:jc w:val="both"/>
      </w:pPr>
      <w:r>
        <w:rPr>
          <w:color w:val="0A0A0A"/>
          <w:sz w:val="21"/>
        </w:rPr>
        <w:t xml:space="preserve">A consequência arquitetural desse modelo é importante: como não há empacotador nem sistema de módulos ES, os arquivos compartilham o </w:t>
      </w:r>
      <w:r>
        <w:rPr>
          <w:b/>
          <w:color w:val="0A0A0A"/>
          <w:sz w:val="21"/>
        </w:rPr>
        <w:t>escopo global do navegador</w:t>
      </w:r>
      <w:r>
        <w:rPr>
          <w:color w:val="0A0A0A"/>
          <w:sz w:val="21"/>
        </w:rPr>
        <w:t xml:space="preserve">. Os componentes e utilitários são expostos como funções/objetos globais (por exemplo, </w:t>
      </w:r>
      <w:r>
        <w:rPr>
          <w:rFonts w:ascii="Consolas" w:hAnsi="Consolas"/>
          <w:color w:val="1F1F1F"/>
          <w:sz w:val="19"/>
          <w:shd w:val="clear" w:fill="F2F2F2"/>
        </w:rPr>
        <w:t>api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Icon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FotoStore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window.gerarLaudoPDF</w:t>
      </w:r>
      <w:r>
        <w:rPr>
          <w:color w:val="0A0A0A"/>
          <w:sz w:val="21"/>
        </w:rPr>
        <w:t xml:space="preserve">), e a ordem de inclusão dos </w:t>
      </w:r>
      <w:r>
        <w:rPr>
          <w:rFonts w:ascii="Consolas" w:hAnsi="Consolas"/>
          <w:color w:val="1F1F1F"/>
          <w:sz w:val="19"/>
          <w:shd w:val="clear" w:fill="F2F2F2"/>
        </w:rPr>
        <w:t>&lt;script&gt;</w:t>
      </w:r>
      <w:r>
        <w:rPr>
          <w:color w:val="0A0A0A"/>
          <w:sz w:val="21"/>
        </w:rPr>
        <w:t xml:space="preserve"> no </w:t>
      </w:r>
      <w:r>
        <w:rPr>
          <w:rFonts w:ascii="Consolas" w:hAnsi="Consolas"/>
          <w:color w:val="1F1F1F"/>
          <w:sz w:val="19"/>
          <w:shd w:val="clear" w:fill="F2F2F2"/>
        </w:rPr>
        <w:t>index.html</w:t>
      </w:r>
      <w:r>
        <w:rPr>
          <w:color w:val="0A0A0A"/>
          <w:sz w:val="21"/>
        </w:rPr>
        <w:t xml:space="preserve"> define a ordem de disponibilidade. O </w:t>
      </w:r>
      <w:r>
        <w:rPr>
          <w:rFonts w:ascii="Consolas" w:hAnsi="Consolas"/>
          <w:color w:val="1F1F1F"/>
          <w:sz w:val="19"/>
          <w:shd w:val="clear" w:fill="F2F2F2"/>
        </w:rPr>
        <w:t>icons.jsx</w:t>
      </w:r>
      <w:r>
        <w:rPr>
          <w:color w:val="0A0A0A"/>
          <w:sz w:val="21"/>
        </w:rPr>
        <w:t xml:space="preserve"> cria um *alias* dos *hooks* do React (</w:t>
      </w:r>
      <w:r>
        <w:rPr>
          <w:rFonts w:ascii="Consolas" w:hAnsi="Consolas"/>
          <w:color w:val="1F1F1F"/>
          <w:sz w:val="19"/>
          <w:shd w:val="clear" w:fill="F2F2F2"/>
        </w:rPr>
        <w:t>const { useState, useEffect, ... } = React</w:t>
      </w:r>
      <w:r>
        <w:rPr>
          <w:color w:val="0A0A0A"/>
          <w:sz w:val="21"/>
        </w:rPr>
        <w:t>) para uso nas páginas.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8.2 O app shell e a navegação</w:t>
      </w:r>
    </w:p>
    <w:p>
      <w:pPr>
        <w:jc w:val="both"/>
      </w:pPr>
      <w:r>
        <w:rPr>
          <w:rFonts w:ascii="Consolas" w:hAnsi="Consolas"/>
          <w:color w:val="1F1F1F"/>
          <w:sz w:val="19"/>
          <w:shd w:val="clear" w:fill="F2F2F2"/>
        </w:rPr>
        <w:t>App.jsx</w:t>
      </w:r>
      <w:r>
        <w:rPr>
          <w:color w:val="0A0A0A"/>
          <w:sz w:val="21"/>
        </w:rPr>
        <w:t xml:space="preserve"> é o componente raiz. Ele administra: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b/>
          <w:color w:val="0A0A0A"/>
          <w:sz w:val="21"/>
        </w:rPr>
        <w:t>Sessão</w:t>
      </w:r>
      <w:r>
        <w:rPr>
          <w:color w:val="0A0A0A"/>
          <w:sz w:val="21"/>
        </w:rPr>
        <w:t xml:space="preserve">: ao recarregar a página, restaura a sessão a partir do JWT guardado em </w:t>
      </w:r>
      <w:r>
        <w:rPr>
          <w:rFonts w:ascii="Consolas" w:hAnsi="Consolas"/>
          <w:color w:val="1F1F1F"/>
          <w:sz w:val="19"/>
          <w:shd w:val="clear" w:fill="F2F2F2"/>
        </w:rPr>
        <w:t>sessionStorage</w:t>
      </w:r>
      <w:r>
        <w:rPr>
          <w:color w:val="0A0A0A"/>
          <w:sz w:val="21"/>
        </w:rPr>
        <w:t>. Se não houver token, renderiza a tela de login.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b/>
          <w:color w:val="0A0A0A"/>
          <w:sz w:val="21"/>
        </w:rPr>
        <w:t>Navegação</w:t>
      </w:r>
      <w:r>
        <w:rPr>
          <w:color w:val="0A0A0A"/>
          <w:sz w:val="21"/>
        </w:rPr>
        <w:t>: não há biblioteca de roteamento. A navegação é controlada por estado (</w:t>
      </w:r>
      <w:r>
        <w:rPr>
          <w:rFonts w:ascii="Consolas" w:hAnsi="Consolas"/>
          <w:color w:val="1F1F1F"/>
          <w:sz w:val="19"/>
          <w:shd w:val="clear" w:fill="F2F2F2"/>
        </w:rPr>
        <w:t>useState</w:t>
      </w:r>
      <w:r>
        <w:rPr>
          <w:color w:val="0A0A0A"/>
          <w:sz w:val="21"/>
        </w:rPr>
        <w:t xml:space="preserve">), alternando entre as páginas </w:t>
      </w:r>
      <w:r>
        <w:rPr>
          <w:rFonts w:ascii="Consolas" w:hAnsi="Consolas"/>
          <w:color w:val="1F1F1F"/>
          <w:sz w:val="19"/>
          <w:shd w:val="clear" w:fill="F2F2F2"/>
        </w:rPr>
        <w:t>dashboard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agenda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triagem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pacientes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config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usuarios</w:t>
      </w:r>
      <w:r>
        <w:rPr>
          <w:color w:val="0A0A0A"/>
          <w:sz w:val="21"/>
        </w:rPr>
        <w:t xml:space="preserve">. A página de Usuários só é renderizada para o usuário do tipo </w:t>
      </w:r>
      <w:r>
        <w:rPr>
          <w:rFonts w:ascii="Consolas" w:hAnsi="Consolas"/>
          <w:color w:val="1F1F1F"/>
          <w:sz w:val="19"/>
          <w:shd w:val="clear" w:fill="F2F2F2"/>
        </w:rPr>
        <w:t>admin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b/>
          <w:color w:val="0A0A0A"/>
          <w:sz w:val="21"/>
        </w:rPr>
        <w:t>Tema</w:t>
      </w:r>
      <w:r>
        <w:rPr>
          <w:color w:val="0A0A0A"/>
          <w:sz w:val="21"/>
        </w:rPr>
        <w:t xml:space="preserve">: alterna entre claro e escuro, persistindo a preferência em </w:t>
      </w:r>
      <w:r>
        <w:rPr>
          <w:rFonts w:ascii="Consolas" w:hAnsi="Consolas"/>
          <w:color w:val="1F1F1F"/>
          <w:sz w:val="19"/>
          <w:shd w:val="clear" w:fill="F2F2F2"/>
        </w:rPr>
        <w:t>localStorage</w:t>
      </w:r>
      <w:r>
        <w:rPr>
          <w:color w:val="0A0A0A"/>
          <w:sz w:val="21"/>
        </w:rPr>
        <w:t xml:space="preserve"> (o tema é pré-aplicado já no </w:t>
      </w:r>
      <w:r>
        <w:rPr>
          <w:rFonts w:ascii="Consolas" w:hAnsi="Consolas"/>
          <w:color w:val="1F1F1F"/>
          <w:sz w:val="19"/>
          <w:shd w:val="clear" w:fill="F2F2F2"/>
        </w:rPr>
        <w:t>&lt;head&gt;</w:t>
      </w:r>
      <w:r>
        <w:rPr>
          <w:color w:val="0A0A0A"/>
          <w:sz w:val="21"/>
        </w:rPr>
        <w:t xml:space="preserve"> para evitar cintilação na primeira pintura).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b/>
          <w:color w:val="0A0A0A"/>
          <w:sz w:val="21"/>
        </w:rPr>
        <w:t>Expiração de sessão</w:t>
      </w:r>
      <w:r>
        <w:rPr>
          <w:color w:val="0A0A0A"/>
          <w:sz w:val="21"/>
        </w:rPr>
        <w:t xml:space="preserve">: registra um *callback* </w:t>
      </w:r>
      <w:r>
        <w:rPr>
          <w:rFonts w:ascii="Consolas" w:hAnsi="Consolas"/>
          <w:color w:val="1F1F1F"/>
          <w:sz w:val="19"/>
          <w:shd w:val="clear" w:fill="F2F2F2"/>
        </w:rPr>
        <w:t>api.onUnauthorized</w:t>
      </w:r>
      <w:r>
        <w:rPr>
          <w:color w:val="0A0A0A"/>
          <w:sz w:val="21"/>
        </w:rPr>
        <w:t xml:space="preserve"> que, ao receber HTTP 401 de qualquer chamada, limpa a sessão e retorna à tela de login.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8.3 O cliente de API único</w:t>
      </w:r>
    </w:p>
    <w:p>
      <w:pPr>
        <w:jc w:val="both"/>
      </w:pPr>
      <w:r>
        <w:rPr>
          <w:color w:val="0A0A0A"/>
          <w:sz w:val="21"/>
        </w:rPr>
        <w:t xml:space="preserve">Toda a comunicação com o back-end passa por </w:t>
      </w:r>
      <w:r>
        <w:rPr>
          <w:rFonts w:ascii="Consolas" w:hAnsi="Consolas"/>
          <w:color w:val="1F1F1F"/>
          <w:sz w:val="19"/>
          <w:shd w:val="clear" w:fill="F2F2F2"/>
        </w:rPr>
        <w:t>frontend/src/api/client.js</w:t>
      </w:r>
      <w:r>
        <w:rPr>
          <w:color w:val="0A0A0A"/>
          <w:sz w:val="21"/>
        </w:rPr>
        <w:t xml:space="preserve"> — nenhum componente chama </w:t>
      </w:r>
      <w:r>
        <w:rPr>
          <w:rFonts w:ascii="Consolas" w:hAnsi="Consolas"/>
          <w:color w:val="1F1F1F"/>
          <w:sz w:val="19"/>
          <w:shd w:val="clear" w:fill="F2F2F2"/>
        </w:rPr>
        <w:t>fetch()</w:t>
      </w:r>
      <w:r>
        <w:rPr>
          <w:color w:val="0A0A0A"/>
          <w:sz w:val="21"/>
        </w:rPr>
        <w:t xml:space="preserve"> diretamente. Esta concentração é justamente a materialização do ADR-0001. O módulo expõe um objeto </w:t>
      </w:r>
      <w:r>
        <w:rPr>
          <w:rFonts w:ascii="Consolas" w:hAnsi="Consolas"/>
          <w:color w:val="1F1F1F"/>
          <w:sz w:val="19"/>
          <w:shd w:val="clear" w:fill="F2F2F2"/>
        </w:rPr>
        <w:t>api</w:t>
      </w:r>
      <w:r>
        <w:rPr>
          <w:color w:val="0A0A0A"/>
          <w:sz w:val="21"/>
        </w:rPr>
        <w:t xml:space="preserve"> que: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 xml:space="preserve">Mantém o token JWT em memória e em </w:t>
      </w:r>
      <w:r>
        <w:rPr>
          <w:rFonts w:ascii="Consolas" w:hAnsi="Consolas"/>
          <w:color w:val="1F1F1F"/>
          <w:sz w:val="19"/>
          <w:shd w:val="clear" w:fill="F2F2F2"/>
        </w:rPr>
        <w:t>sessionStorage</w:t>
      </w:r>
      <w:r>
        <w:rPr>
          <w:color w:val="0A0A0A"/>
          <w:sz w:val="21"/>
        </w:rPr>
        <w:t xml:space="preserve">; expõe </w:t>
      </w:r>
      <w:r>
        <w:rPr>
          <w:rFonts w:ascii="Consolas" w:hAnsi="Consolas"/>
          <w:color w:val="1F1F1F"/>
          <w:sz w:val="19"/>
          <w:shd w:val="clear" w:fill="F2F2F2"/>
        </w:rPr>
        <w:t>getUser()</w:t>
      </w:r>
      <w:r>
        <w:rPr>
          <w:color w:val="0A0A0A"/>
          <w:sz w:val="21"/>
        </w:rPr>
        <w:t>/</w:t>
      </w:r>
      <w:r>
        <w:rPr>
          <w:rFonts w:ascii="Consolas" w:hAnsi="Consolas"/>
          <w:color w:val="1F1F1F"/>
          <w:sz w:val="19"/>
          <w:shd w:val="clear" w:fill="F2F2F2"/>
        </w:rPr>
        <w:t>setSession()</w:t>
      </w:r>
      <w:r>
        <w:rPr>
          <w:color w:val="0A0A0A"/>
          <w:sz w:val="21"/>
        </w:rPr>
        <w:t>/</w:t>
      </w:r>
      <w:r>
        <w:rPr>
          <w:rFonts w:ascii="Consolas" w:hAnsi="Consolas"/>
          <w:color w:val="1F1F1F"/>
          <w:sz w:val="19"/>
          <w:shd w:val="clear" w:fill="F2F2F2"/>
        </w:rPr>
        <w:t>clearSession()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 xml:space="preserve">Possui um auxiliar central </w:t>
      </w:r>
      <w:r>
        <w:rPr>
          <w:rFonts w:ascii="Consolas" w:hAnsi="Consolas"/>
          <w:color w:val="1F1F1F"/>
          <w:sz w:val="19"/>
          <w:shd w:val="clear" w:fill="F2F2F2"/>
        </w:rPr>
        <w:t>_request()</w:t>
      </w:r>
      <w:r>
        <w:rPr>
          <w:color w:val="0A0A0A"/>
          <w:sz w:val="21"/>
        </w:rPr>
        <w:t xml:space="preserve"> que injeta o cabeçalho </w:t>
      </w:r>
      <w:r>
        <w:rPr>
          <w:rFonts w:ascii="Consolas" w:hAnsi="Consolas"/>
          <w:color w:val="1F1F1F"/>
          <w:sz w:val="19"/>
          <w:shd w:val="clear" w:fill="F2F2F2"/>
        </w:rPr>
        <w:t>Authorization: Bearer &lt;token&gt;</w:t>
      </w:r>
      <w:r>
        <w:rPr>
          <w:color w:val="0A0A0A"/>
          <w:sz w:val="21"/>
        </w:rPr>
        <w:t xml:space="preserve">, serializa o corpo em JSON, e trata respostas: em 401 limpa a sessão e dispara </w:t>
      </w:r>
      <w:r>
        <w:rPr>
          <w:rFonts w:ascii="Consolas" w:hAnsi="Consolas"/>
          <w:color w:val="1F1F1F"/>
          <w:sz w:val="19"/>
          <w:shd w:val="clear" w:fill="F2F2F2"/>
        </w:rPr>
        <w:t>onUnauthorized</w:t>
      </w:r>
      <w:r>
        <w:rPr>
          <w:color w:val="0A0A0A"/>
          <w:sz w:val="21"/>
        </w:rPr>
        <w:t xml:space="preserve">; em erro, lança uma exceção com </w:t>
      </w:r>
      <w:r>
        <w:rPr>
          <w:rFonts w:ascii="Consolas" w:hAnsi="Consolas"/>
          <w:color w:val="1F1F1F"/>
          <w:sz w:val="19"/>
          <w:shd w:val="clear" w:fill="F2F2F2"/>
        </w:rPr>
        <w:t>status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detail</w:t>
      </w:r>
      <w:r>
        <w:rPr>
          <w:color w:val="0A0A0A"/>
          <w:sz w:val="21"/>
        </w:rPr>
        <w:t>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>Implementa o login no fluxo OAuth2 *password* (</w:t>
      </w:r>
      <w:r>
        <w:rPr>
          <w:rFonts w:ascii="Consolas" w:hAnsi="Consolas"/>
          <w:color w:val="1F1F1F"/>
          <w:sz w:val="19"/>
          <w:shd w:val="clear" w:fill="F2F2F2"/>
        </w:rPr>
        <w:t>application/x-www-form-urlencoded</w:t>
      </w:r>
      <w:r>
        <w:rPr>
          <w:color w:val="0A0A0A"/>
          <w:sz w:val="21"/>
        </w:rPr>
        <w:t xml:space="preserve">, campos </w:t>
      </w:r>
      <w:r>
        <w:rPr>
          <w:rFonts w:ascii="Consolas" w:hAnsi="Consolas"/>
          <w:color w:val="1F1F1F"/>
          <w:sz w:val="19"/>
          <w:shd w:val="clear" w:fill="F2F2F2"/>
        </w:rPr>
        <w:t>username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password</w:t>
      </w:r>
      <w:r>
        <w:rPr>
          <w:color w:val="0A0A0A"/>
          <w:sz w:val="21"/>
        </w:rPr>
        <w:t>).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>Oferece métodos de domínio nomeados para cada recurso: pacientes (listar, criar, detalhe, arquivar/reativar, excluir, foto), avaliações, sintomas, acompanhantes, dashboard, relatórios, agendamentos e usuários (admin).</w:t>
      </w:r>
    </w:p>
    <w:p>
      <w:pPr>
        <w:jc w:val="both"/>
      </w:pPr>
      <w:r>
        <w:rPr>
          <w:color w:val="0A0A0A"/>
          <w:sz w:val="21"/>
        </w:rPr>
        <w:t xml:space="preserve">A base da API tem valor padrão </w:t>
      </w:r>
      <w:r>
        <w:rPr>
          <w:rFonts w:ascii="Consolas" w:hAnsi="Consolas"/>
          <w:color w:val="1F1F1F"/>
          <w:sz w:val="19"/>
          <w:shd w:val="clear" w:fill="F2F2F2"/>
        </w:rPr>
        <w:t>'/api/v1'</w:t>
      </w:r>
      <w:r>
        <w:rPr>
          <w:color w:val="0A0A0A"/>
          <w:sz w:val="21"/>
        </w:rPr>
        <w:t xml:space="preserve"> (mesma origem). Para apontar o front a outro host, define-se </w:t>
      </w:r>
      <w:r>
        <w:rPr>
          <w:rFonts w:ascii="Consolas" w:hAnsi="Consolas"/>
          <w:color w:val="1F1F1F"/>
          <w:sz w:val="19"/>
          <w:shd w:val="clear" w:fill="F2F2F2"/>
        </w:rPr>
        <w:t>window.CITO_API_BASE</w:t>
      </w:r>
      <w:r>
        <w:rPr>
          <w:color w:val="0A0A0A"/>
          <w:sz w:val="21"/>
        </w:rPr>
        <w:t xml:space="preserve"> antes do carregamento de </w:t>
      </w:r>
      <w:r>
        <w:rPr>
          <w:rFonts w:ascii="Consolas" w:hAnsi="Consolas"/>
          <w:color w:val="1F1F1F"/>
          <w:sz w:val="19"/>
          <w:shd w:val="clear" w:fill="F2F2F2"/>
        </w:rPr>
        <w:t>client.js</w:t>
      </w:r>
      <w:r>
        <w:rPr>
          <w:color w:val="0A0A0A"/>
          <w:sz w:val="21"/>
        </w:rPr>
        <w:t>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8.4 As páginas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Página</w:t>
            </w:r>
          </w:p>
        </w:tc>
        <w:tc>
          <w:tcPr>
            <w:tcW w:type="dxa" w:w="4824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Login.jsx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Autenticação; chama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api.login</w:t>
            </w:r>
            <w:r>
              <w:rPr>
                <w:color w:val="0A0A0A"/>
                <w:sz w:val="19"/>
              </w:rPr>
              <w:t>, trata credenciais inválidas e estados de carregamento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Dashboard.jsx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Visão geral operacional do médico; consome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dashboard/summary</w:t>
            </w:r>
            <w:r>
              <w:rPr>
                <w:color w:val="0A0A0A"/>
                <w:sz w:val="19"/>
              </w:rPr>
              <w:t>; modal de reagendamento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Pacientes.jsx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Cadastro, listagem, prontuário, arquivamento e exclusão de pacientes; gestão de foto e reimpressão de laudo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Triagem.jsx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Núcleo clínico: busca de paciente, checklist de sintomas, histórico familiar, prévia local de escore e submissão da avaliação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Agenda.jsx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Agenda de compromissos; criar, editar e cancelar agendamentos</w:t>
            </w:r>
          </w:p>
        </w:tc>
      </w:tr>
      <w:tr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Config.jsx</w:t>
            </w:r>
          </w:p>
        </w:tc>
        <w:tc>
          <w:tcPr>
            <w:tcW w:type="dxa" w:w="4824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Configurações e relatórios (gráficos de atividade a partir de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relatorios/avaliacoes</w:t>
            </w:r>
            <w:r>
              <w:rPr>
                <w:color w:val="0A0A0A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Usuarios.jsx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Gestão de médicos (somente admin); criar, ativar/desativar e excluir usuários</w:t>
            </w:r>
          </w:p>
        </w:tc>
      </w:tr>
    </w:tbl>
    <w:p>
      <w:pPr>
        <w:jc w:val="both"/>
      </w:pPr>
      <w:r>
        <w:rPr>
          <w:color w:val="0A0A0A"/>
          <w:sz w:val="21"/>
        </w:rPr>
        <w:t xml:space="preserve">Os componentes compartilhados são </w:t>
      </w:r>
      <w:r>
        <w:rPr>
          <w:rFonts w:ascii="Consolas" w:hAnsi="Consolas"/>
          <w:color w:val="1F1F1F"/>
          <w:sz w:val="19"/>
          <w:shd w:val="clear" w:fill="F2F2F2"/>
        </w:rPr>
        <w:t>Sidebar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Topbar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ThemeToggle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CalendarWidget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Logo</w:t>
      </w:r>
      <w:r>
        <w:rPr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fill="F2F2F2"/>
        </w:rPr>
        <w:t>Base</w:t>
      </w:r>
      <w:r>
        <w:rPr>
          <w:color w:val="0A0A0A"/>
          <w:sz w:val="21"/>
        </w:rPr>
        <w:t xml:space="preserve"> (primitivas de UI). O sistema de design é estritamente preto e branco, com tokens CSS para temas claro e escuro.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8.5 O escore de prévia no cliente</w:t>
      </w:r>
    </w:p>
    <w:p>
      <w:pPr>
        <w:jc w:val="both"/>
      </w:pPr>
      <w:r>
        <w:rPr>
          <w:color w:val="0A0A0A"/>
          <w:sz w:val="21"/>
        </w:rPr>
        <w:t xml:space="preserve">A tela de Triagem calcula um </w:t>
      </w:r>
      <w:r>
        <w:rPr>
          <w:b/>
          <w:color w:val="0A0A0A"/>
          <w:sz w:val="21"/>
        </w:rPr>
        <w:t>escore local apenas para prévia</w:t>
      </w:r>
      <w:r>
        <w:rPr>
          <w:color w:val="0A0A0A"/>
          <w:sz w:val="21"/>
        </w:rPr>
        <w:t xml:space="preserve"> na tela de revisão: usa o catálogo de sintomas com pesos por sexo e limiares constantes (</w:t>
      </w:r>
      <w:r>
        <w:rPr>
          <w:rFonts w:ascii="Consolas" w:hAnsi="Consolas"/>
          <w:color w:val="1F1F1F"/>
          <w:sz w:val="19"/>
          <w:shd w:val="clear" w:fill="F2F2F2"/>
        </w:rPr>
        <w:t>LIMIAR_M = 0.56</w:t>
      </w:r>
      <w:r>
        <w:rPr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fill="F2F2F2"/>
        </w:rPr>
        <w:t>LIMIAR_F = 0.55</w:t>
      </w:r>
      <w:r>
        <w:rPr>
          <w:color w:val="0A0A0A"/>
          <w:sz w:val="21"/>
        </w:rPr>
        <w:t xml:space="preserve">) para antecipar o resultado ao médico. </w:t>
      </w:r>
      <w:r>
        <w:rPr>
          <w:b/>
          <w:color w:val="0A0A0A"/>
          <w:sz w:val="21"/>
        </w:rPr>
        <w:t>O valor que vale, porém, é o que o back-end devolve</w:t>
      </w:r>
      <w:r>
        <w:rPr>
          <w:color w:val="0A0A0A"/>
          <w:sz w:val="21"/>
        </w:rPr>
        <w:t xml:space="preserve"> — o front-end apenas exibe a prévia e, ao submeter, confia no escore calculado pela função do banco. Esse cuidado evita reintroduzir a divergência histórica em que o cliente reimplementava a regra de negócio.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8.6 Geração de laudo (PDF)</w:t>
      </w:r>
    </w:p>
    <w:p>
      <w:pPr>
        <w:jc w:val="both"/>
      </w:pPr>
      <w:r>
        <w:rPr>
          <w:color w:val="0A0A0A"/>
          <w:sz w:val="21"/>
        </w:rPr>
        <w:t xml:space="preserve">O laudo de triagem é gerado </w:t>
      </w:r>
      <w:r>
        <w:rPr>
          <w:b/>
          <w:color w:val="0A0A0A"/>
          <w:sz w:val="21"/>
        </w:rPr>
        <w:t>no cliente</w:t>
      </w:r>
      <w:r>
        <w:rPr>
          <w:color w:val="0A0A0A"/>
          <w:sz w:val="21"/>
        </w:rPr>
        <w:t xml:space="preserve">, em JavaScript puro, pela função </w:t>
      </w:r>
      <w:r>
        <w:rPr>
          <w:rFonts w:ascii="Consolas" w:hAnsi="Consolas"/>
          <w:color w:val="1F1F1F"/>
          <w:sz w:val="19"/>
          <w:shd w:val="clear" w:fill="F2F2F2"/>
        </w:rPr>
        <w:t>window.gerarLaudoPDF</w:t>
      </w:r>
      <w:r>
        <w:rPr>
          <w:color w:val="0A0A0A"/>
          <w:sz w:val="21"/>
        </w:rPr>
        <w:t xml:space="preserve"> definida em </w:t>
      </w:r>
      <w:r>
        <w:rPr>
          <w:rFonts w:ascii="Consolas" w:hAnsi="Consolas"/>
          <w:color w:val="1F1F1F"/>
          <w:sz w:val="19"/>
          <w:shd w:val="clear" w:fill="F2F2F2"/>
        </w:rPr>
        <w:t>frontend/src/lib/laudo.js</w:t>
      </w:r>
      <w:r>
        <w:rPr>
          <w:color w:val="0A0A0A"/>
          <w:sz w:val="21"/>
        </w:rPr>
        <w:t xml:space="preserve"> (usando jsPDF). O módulo é compartilhado: a Triagem gera o laudo ao finalizar a avaliação e a tela de Pacientes reimprime o mesmo laudo de uma avaliação já registrada (consumindo o detalhe de avaliação </w:t>
      </w:r>
      <w:r>
        <w:rPr>
          <w:rFonts w:ascii="Consolas" w:hAnsi="Consolas"/>
          <w:color w:val="1F1F1F"/>
          <w:sz w:val="19"/>
          <w:shd w:val="clear" w:fill="F2F2F2"/>
        </w:rPr>
        <w:t>GET /avaliacoes/{id}</w:t>
      </w:r>
      <w:r>
        <w:rPr>
          <w:color w:val="0A0A0A"/>
          <w:sz w:val="21"/>
        </w:rPr>
        <w:t>). O layout imita um formulário clínico em preto e branco, com cabeçalho institucional, tabelas de sintomas e histórico e área de assinatura.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9. Interação front-end e back-end</w:t>
      </w:r>
    </w:p>
    <w:p>
      <w:pPr>
        <w:jc w:val="both"/>
      </w:pPr>
      <w:r>
        <w:rPr>
          <w:color w:val="0A0A0A"/>
          <w:sz w:val="21"/>
        </w:rPr>
        <w:t xml:space="preserve">A comunicação é HTTP/JSON, autenticada por *Bearer token* (JWT). O contrato é estável e validado em duas frentes: pelos schemas Pydantic com </w:t>
      </w:r>
      <w:r>
        <w:rPr>
          <w:rFonts w:ascii="Consolas" w:hAnsi="Consolas"/>
          <w:color w:val="1F1F1F"/>
          <w:sz w:val="19"/>
          <w:shd w:val="clear" w:fill="F2F2F2"/>
        </w:rPr>
        <w:t>extra="forbid"</w:t>
      </w:r>
      <w:r>
        <w:rPr>
          <w:color w:val="0A0A0A"/>
          <w:sz w:val="21"/>
        </w:rPr>
        <w:t xml:space="preserve"> (que rejeitam campos inesperados) e pelo guarda estático </w:t>
      </w:r>
      <w:r>
        <w:rPr>
          <w:rFonts w:ascii="Consolas" w:hAnsi="Consolas"/>
          <w:color w:val="1F1F1F"/>
          <w:sz w:val="19"/>
          <w:shd w:val="clear" w:fill="F2F2F2"/>
        </w:rPr>
        <w:t>scripts/check_contract.py</w:t>
      </w:r>
      <w:r>
        <w:rPr>
          <w:color w:val="0A0A0A"/>
          <w:sz w:val="21"/>
        </w:rPr>
        <w:t>, que confere — sem precisar de banco — que todo endpoint consumido pelo front existe no back e que payloads representativos validam contra os schemas.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9.1 Contrato de endpoints (principais)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Rota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Front que consome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POST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/auth/login</w:t>
            </w:r>
            <w:r>
              <w:rPr>
                <w:color w:val="0A0A0A"/>
                <w:sz w:val="19"/>
              </w:rPr>
              <w:t xml:space="preserve"> (form-urlencoded)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Login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POST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/auth/logout?sessao_id=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App shell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/sintomas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Triagem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GET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/pacientes</w:t>
            </w:r>
            <w:r>
              <w:rPr>
                <w:color w:val="0A0A0A"/>
                <w:sz w:val="19"/>
              </w:rPr>
              <w:t xml:space="preserve"> (nome, cpf, incluir_inativos, limit, offset)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Pacientes, Triagem, Agenda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POST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/pacientes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Pacientes, Triagem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GET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/pacientes/{id}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Pacientes (prontuário)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PATCH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/pacientes/{id}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Pacientes (arquivar/reativar)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DELETE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/pacientes/{id}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Pacientes (exclusão com senha)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POST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/pacientes/{id}/foto</w:t>
            </w:r>
            <w:r>
              <w:rPr>
                <w:color w:val="0A0A0A"/>
                <w:sz w:val="19"/>
              </w:rPr>
              <w:t xml:space="preserve"> · DELETE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/pacientes/{id}/foto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Pacientes (foto)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GET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/pacientes/{id}/historico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Pacientes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POST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/avaliacoes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Triagem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GET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/avaliacoes/{id}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Pacientes (reimpressão de laudo)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/dashboard/summary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Dashboard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GET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/dashboard/stats</w:t>
            </w:r>
            <w:r>
              <w:rPr>
                <w:color w:val="0A0A0A"/>
                <w:sz w:val="19"/>
              </w:rPr>
              <w:t xml:space="preserve"> · POST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/dashboard/refresh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Analytics / admin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/relatorios/avaliacoes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Configurações (Relatórios)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GET/POST/PATCH/DELETE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/agendamentos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Agenda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/acompanhantes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Seleção em formulários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GET/POST/PATCH/DELETE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/usuarios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Usuários (admin)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/health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Infraestrutura</w:t>
            </w:r>
          </w:p>
        </w:tc>
      </w:tr>
    </w:tbl>
    <w:p>
      <w:pPr>
        <w:spacing w:before="80" w:after="160"/>
        <w:ind w:left="360"/>
        <w:pBdr>
          <w:left w:val="single" w:sz="18" w:space="8" w:color="1F1F1F"/>
        </w:pBdr>
      </w:pPr>
      <w:r>
        <w:rPr>
          <w:i/>
          <w:color w:val="5A5A5A"/>
          <w:sz w:val="21"/>
        </w:rPr>
        <w:t xml:space="preserve">Observação de fidelidade ao código: o cofre de arquitetura descrevia oito routers; o código atual registra </w:t>
      </w:r>
      <w:r>
        <w:rPr>
          <w:b/>
          <w:i/>
          <w:color w:val="5A5A5A"/>
          <w:sz w:val="21"/>
        </w:rPr>
        <w:t>nove</w:t>
      </w:r>
      <w:r>
        <w:rPr>
          <w:i/>
          <w:color w:val="5A5A5A"/>
          <w:sz w:val="21"/>
        </w:rPr>
        <w:t xml:space="preserve"> (foi acrescentado o router </w:t>
      </w:r>
      <w:r>
        <w:rPr>
          <w:rFonts w:ascii="Consolas" w:hAnsi="Consolas"/>
          <w:i/>
          <w:color w:val="1F1F1F"/>
          <w:sz w:val="19"/>
          <w:shd w:val="clear" w:fill="F2F2F2"/>
        </w:rPr>
        <w:t>users</w:t>
      </w:r>
      <w:r>
        <w:rPr>
          <w:i/>
          <w:color w:val="5A5A5A"/>
          <w:sz w:val="21"/>
        </w:rPr>
        <w:t>, de gestão de médicos). Da mesma forma, o conjunto de endpoints de pacientes evoluiu para incluir arquivamento, exclusão com confirmação por senha e gestão de foto. Este manual reflete o estado real do código.</w:t>
      </w:r>
    </w:p>
    <w:p>
      <w:pPr>
        <w:keepNext/>
        <w:spacing w:before="320" w:after="120"/>
        <w:pBdr>
          <w:bottom w:val="single" w:sz="4" w:space="4" w:color="C8C8C8"/>
        </w:pBdr>
      </w:pPr>
      <w:r>
        <w:rPr>
          <w:b/>
          <w:color w:val="0A0A0A"/>
          <w:sz w:val="32"/>
        </w:rPr>
        <w:t>9.2 Fluxo de autenticação ponta a ponta</w:t>
      </w:r>
    </w:p>
    <w:p>
      <w:pPr>
        <w:jc w:val="both"/>
      </w:pPr>
      <w:r>
        <w:rPr>
          <w:color w:val="0A0A0A"/>
          <w:sz w:val="21"/>
        </w:rPr>
        <w:t xml:space="preserve">No login, o router de autenticação extrai IP e *user agent*, aplica a proteção contra força bruta (cinco falhas por IP em dez minutos resultam em HTTP 429), verifica as credenciais (a senha é conferida pelo PostgreSQL via </w:t>
      </w:r>
      <w:r>
        <w:rPr>
          <w:rFonts w:ascii="Consolas" w:hAnsi="Consolas"/>
          <w:color w:val="1F1F1F"/>
          <w:sz w:val="19"/>
          <w:shd w:val="clear" w:fill="F2F2F2"/>
        </w:rPr>
        <w:t>crypt</w:t>
      </w:r>
      <w:r>
        <w:rPr>
          <w:color w:val="0A0A0A"/>
          <w:sz w:val="21"/>
        </w:rPr>
        <w:t xml:space="preserve">, nunca pelo Python), abre uma sessão em </w:t>
      </w:r>
      <w:r>
        <w:rPr>
          <w:rFonts w:ascii="Consolas" w:hAnsi="Consolas"/>
          <w:color w:val="1F1F1F"/>
          <w:sz w:val="19"/>
          <w:shd w:val="clear" w:fill="F2F2F2"/>
        </w:rPr>
        <w:t>tb_log_sessoes</w:t>
      </w:r>
      <w:r>
        <w:rPr>
          <w:color w:val="0A0A0A"/>
          <w:sz w:val="21"/>
        </w:rPr>
        <w:t xml:space="preserve"> e emite um JWT HS256. O identificador da sessão (</w:t>
      </w:r>
      <w:r>
        <w:rPr>
          <w:rFonts w:ascii="Consolas" w:hAnsi="Consolas"/>
          <w:color w:val="1F1F1F"/>
          <w:sz w:val="19"/>
          <w:shd w:val="clear" w:fill="F2F2F2"/>
        </w:rPr>
        <w:t>sessao_id</w:t>
      </w:r>
      <w:r>
        <w:rPr>
          <w:color w:val="0A0A0A"/>
          <w:sz w:val="21"/>
        </w:rPr>
        <w:t xml:space="preserve">) é gravado dentro do token (claim </w:t>
      </w:r>
      <w:r>
        <w:rPr>
          <w:rFonts w:ascii="Consolas" w:hAnsi="Consolas"/>
          <w:color w:val="1F1F1F"/>
          <w:sz w:val="19"/>
          <w:shd w:val="clear" w:fill="F2F2F2"/>
        </w:rPr>
        <w:t>sid</w:t>
      </w:r>
      <w:r>
        <w:rPr>
          <w:color w:val="0A0A0A"/>
          <w:sz w:val="21"/>
        </w:rPr>
        <w:t xml:space="preserve">), costurando o token a um registro de sessão auditável. A partir daí, todo endpoint protegido usa </w:t>
      </w:r>
      <w:r>
        <w:rPr>
          <w:rFonts w:ascii="Consolas" w:hAnsi="Consolas"/>
          <w:color w:val="1F1F1F"/>
          <w:sz w:val="19"/>
          <w:shd w:val="clear" w:fill="F2F2F2"/>
        </w:rPr>
        <w:t>get_current_doctor</w:t>
      </w:r>
      <w:r>
        <w:rPr>
          <w:color w:val="0A0A0A"/>
          <w:sz w:val="21"/>
        </w:rPr>
        <w:t xml:space="preserve">, que valida o token criptograficamente (sem tocar o banco) e devolve a identidade </w:t>
      </w:r>
      <w:r>
        <w:rPr>
          <w:rFonts w:ascii="Consolas" w:hAnsi="Consolas"/>
          <w:color w:val="1F1F1F"/>
          <w:sz w:val="19"/>
          <w:shd w:val="clear" w:fill="F2F2F2"/>
        </w:rPr>
        <w:t>AuthenticatedDoctor(usuario_id, sessao_id, role)</w:t>
      </w:r>
      <w:r>
        <w:rPr>
          <w:color w:val="0A0A0A"/>
          <w:sz w:val="21"/>
        </w:rPr>
        <w:t xml:space="preserve">. O </w:t>
      </w:r>
      <w:r>
        <w:rPr>
          <w:rFonts w:ascii="Consolas" w:hAnsi="Consolas"/>
          <w:color w:val="1F1F1F"/>
          <w:sz w:val="19"/>
          <w:shd w:val="clear" w:fill="F2F2F2"/>
        </w:rPr>
        <w:t>usuario_id</w:t>
      </w:r>
      <w:r>
        <w:rPr>
          <w:color w:val="0A0A0A"/>
          <w:sz w:val="21"/>
        </w:rPr>
        <w:t xml:space="preserve"> resultante escopa todas as consultas ao médico dono dos dados.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10. Decisões de arquitetura (ADRs)</w:t>
      </w:r>
    </w:p>
    <w:p>
      <w:pPr>
        <w:jc w:val="both"/>
      </w:pPr>
      <w:r>
        <w:rPr>
          <w:color w:val="0A0A0A"/>
          <w:sz w:val="21"/>
        </w:rPr>
        <w:t xml:space="preserve">O projeto registra suas decisões de arquitetura em </w:t>
      </w:r>
      <w:r>
        <w:rPr>
          <w:rFonts w:ascii="Consolas" w:hAnsi="Consolas"/>
          <w:color w:val="1F1F1F"/>
          <w:sz w:val="19"/>
          <w:shd w:val="clear" w:fill="F2F2F2"/>
        </w:rPr>
        <w:t>docs/adr/</w:t>
      </w:r>
      <w:r>
        <w:rPr>
          <w:color w:val="0A0A0A"/>
          <w:sz w:val="21"/>
        </w:rPr>
        <w:t>. As cinco principais: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3216"/>
            <w:shd w:val="clear" w:color="auto" w:fill="1F1F1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Resumo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0001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Front fala exclusivamente com a API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Fim do acesso direto ao banco no navegador; módulo de rede único; necessidade de CORS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0002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Dados pessoais tratados na borda da API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Política de exposição de nome/CPF por endpoint; busca de nome no servidor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0003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Identidade inteira (SERIAL) em vez de UUID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Alinha as entidades ao banco real; mitiga IDOR com filtro por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usuario_id</w:t>
            </w:r>
          </w:p>
        </w:tc>
      </w:tr>
      <w:tr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0004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Submissão de avaliação consolidada em um endpoint</w:t>
            </w:r>
          </w:p>
        </w:tc>
        <w:tc>
          <w:tcPr>
            <w:tcW w:type="dxa" w:w="3216"/>
            <w:shd w:val="clear" w:color="auto" w:fill="F6F6F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Atomicidade do fluxo clínico; auditoria best-effort; histórico e encaminhamento fatais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0005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 xml:space="preserve">Dependência da view expor </w:t>
            </w:r>
            <w:r>
              <w:rPr>
                <w:rFonts w:ascii="Consolas" w:hAnsi="Consolas"/>
                <w:color w:val="1F1F1F"/>
                <w:sz w:val="17"/>
                <w:shd w:val="clear" w:fill="F2F2F2"/>
              </w:rPr>
              <w:t>recomenda_exame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color w:val="0A0A0A"/>
                <w:sz w:val="19"/>
              </w:rPr>
              <w:t>Back lê a coluna em vez de recomputar; banco como fonte da verdade</w:t>
            </w:r>
          </w:p>
        </w:tc>
      </w:tr>
    </w:tbl>
    <w:p>
      <w:pPr>
        <w:jc w:val="both"/>
      </w:pPr>
      <w:r>
        <w:rPr>
          <w:color w:val="0A0A0A"/>
          <w:sz w:val="21"/>
        </w:rPr>
        <w:t xml:space="preserve">A decisão ADR-0003 (identidade inteira) é a razão pela qual o *scaffolding* de UUID ficou órfão, conforme a seção 5. A escolha por identificadores sequenciais introduz risco de IDOR (referência direta a objetos enumeráveis), mitigado porque toda rota exige JWT e filtra as consultas por </w:t>
      </w:r>
      <w:r>
        <w:rPr>
          <w:rFonts w:ascii="Consolas" w:hAnsi="Consolas"/>
          <w:color w:val="1F1F1F"/>
          <w:sz w:val="19"/>
          <w:shd w:val="clear" w:fill="F2F2F2"/>
        </w:rPr>
        <w:t>usuario_id</w:t>
      </w:r>
      <w:r>
        <w:rPr>
          <w:color w:val="0A0A0A"/>
          <w:sz w:val="21"/>
        </w:rPr>
        <w:t xml:space="preserve"> do médico dono — regra obrigatória em qualquer rota nova.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11. Atributos de qualidade e invariantes</w:t>
      </w:r>
    </w:p>
    <w:p>
      <w:pPr>
        <w:jc w:val="both"/>
      </w:pPr>
      <w:r>
        <w:rPr>
          <w:color w:val="0A0A0A"/>
          <w:sz w:val="21"/>
        </w:rPr>
        <w:t>O projeto compromete-se a preservar, em qualquer mudança, um conjunto de invariantes arquiteturais: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>A chave PGP é injetada por sessão, nunca armazenada no banco nem fixada no código.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 xml:space="preserve">A proteção contra força bruta no </w:t>
      </w:r>
      <w:r>
        <w:rPr>
          <w:rFonts w:ascii="Consolas" w:hAnsi="Consolas"/>
          <w:color w:val="1F1F1F"/>
          <w:sz w:val="19"/>
          <w:shd w:val="clear" w:fill="F2F2F2"/>
        </w:rPr>
        <w:t>AuthService</w:t>
      </w:r>
      <w:r>
        <w:rPr>
          <w:color w:val="0A0A0A"/>
          <w:sz w:val="21"/>
        </w:rPr>
        <w:t xml:space="preserve"> permanece ativa.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 xml:space="preserve">O escore é calculado por </w:t>
      </w:r>
      <w:r>
        <w:rPr>
          <w:rFonts w:ascii="Consolas" w:hAnsi="Consolas"/>
          <w:color w:val="1F1F1F"/>
          <w:sz w:val="19"/>
          <w:shd w:val="clear" w:fill="F2F2F2"/>
        </w:rPr>
        <w:t>fn_calcular_score_triagem</w:t>
      </w:r>
      <w:r>
        <w:rPr>
          <w:color w:val="0A0A0A"/>
          <w:sz w:val="21"/>
        </w:rPr>
        <w:t xml:space="preserve"> (lógica no banco, sem duplicação em Python).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>A hierarquia de exceções de domínio e os *handlers* HTTP centralizados são mantidos.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>Os repositórios não conhecem HTTP; os casos de uso não escrevem SQL.</w:t>
      </w:r>
    </w:p>
    <w:p>
      <w:pPr>
        <w:spacing w:after="60"/>
        <w:ind w:left="432"/>
      </w:pPr>
      <w:r>
        <w:rPr>
          <w:b w:val="0"/>
          <w:color w:val="1F1F1F"/>
          <w:sz w:val="21"/>
        </w:rPr>
        <w:t xml:space="preserve">•  </w:t>
      </w:r>
      <w:r>
        <w:rPr>
          <w:color w:val="0A0A0A"/>
          <w:sz w:val="21"/>
        </w:rPr>
        <w:t>O acesso ao banco se dá somente pelas views.</w:t>
      </w:r>
    </w:p>
    <w:p>
      <w:pPr>
        <w:jc w:val="both"/>
      </w:pPr>
      <w:r>
        <w:rPr>
          <w:color w:val="0A0A0A"/>
          <w:sz w:val="21"/>
        </w:rPr>
        <w:t xml:space="preserve">Uma propriedade prática decorrente do desenho é a </w:t>
      </w:r>
      <w:r>
        <w:rPr>
          <w:b/>
          <w:color w:val="0A0A0A"/>
          <w:sz w:val="21"/>
        </w:rPr>
        <w:t>testabilidade sem banco</w:t>
      </w:r>
      <w:r>
        <w:rPr>
          <w:color w:val="0A0A0A"/>
          <w:sz w:val="21"/>
        </w:rPr>
        <w:t xml:space="preserve">: como o asyncpg conecta de forma preguiçosa (*lazy*), </w:t>
      </w:r>
      <w:r>
        <w:rPr>
          <w:rFonts w:ascii="Consolas" w:hAnsi="Consolas"/>
          <w:color w:val="1F1F1F"/>
          <w:sz w:val="19"/>
          <w:shd w:val="clear" w:fill="F2F2F2"/>
        </w:rPr>
        <w:t>python -c "import app.main"</w:t>
      </w:r>
      <w:r>
        <w:rPr>
          <w:color w:val="0A0A0A"/>
          <w:sz w:val="21"/>
        </w:rPr>
        <w:t xml:space="preserve"> valida todo o *wiring* de rotas, schemas e imports sem conexão ao PostgreSQL, e o </w:t>
      </w:r>
      <w:r>
        <w:rPr>
          <w:rFonts w:ascii="Consolas" w:hAnsi="Consolas"/>
          <w:color w:val="1F1F1F"/>
          <w:sz w:val="19"/>
          <w:shd w:val="clear" w:fill="F2F2F2"/>
        </w:rPr>
        <w:t>check_contract.py</w:t>
      </w:r>
      <w:r>
        <w:rPr>
          <w:color w:val="0A0A0A"/>
          <w:sz w:val="21"/>
        </w:rPr>
        <w:t xml:space="preserve"> valida o contrato front-back de forma estática. Juntos, formam a rede de segurança do projeto.</w:t>
      </w:r>
    </w:p>
    <w:p>
      <w:pPr>
        <w:keepNext/>
        <w:spacing w:before="320" w:after="120"/>
        <w:pBdr>
          <w:bottom w:val="single" w:sz="6" w:space="4" w:color="1F1F1F"/>
        </w:pBdr>
      </w:pPr>
      <w:r>
        <w:rPr>
          <w:b/>
          <w:color w:val="0A0A0A"/>
          <w:sz w:val="44"/>
        </w:rPr>
        <w:t>12. Conclusão</w:t>
      </w:r>
    </w:p>
    <w:p>
      <w:pPr>
        <w:jc w:val="both"/>
      </w:pPr>
      <w:r>
        <w:rPr>
          <w:color w:val="0A0A0A"/>
          <w:sz w:val="21"/>
        </w:rPr>
        <w:t>A arquitetura do CITO equilibra rigor e pragmatismo. No back-end, a hexagonal isola o domínio das tecnologias de borda e concentra as regras sensíveis (privacidade, autenticação) em pontos bem definidos, ao mesmo tempo em que delega a regra clínica de maior valor — o escore — ao banco, onde ela pode ser auditada e recalibrada sem novo deploy. No front-end, a opção por React sem empacotador reduz a complexidade de *tooling* ao custo de um modelo de escopo global, com toda a rede concentrada em um cliente de API único. As três camadas físicas se comunicam de forma estrita e unidirecional, e a proteção de dados pessoais — cifragem no banco, chave por sessão e supressão estatística por k-anonimato — está distribuída pela pilha como um requisito de primeira ordem. O respeito à distinção entre núcleo ativo e *scaffolding* legado é essencial para navegar o código sem se perder em artefatos que não participam da execução.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CITO · </w:t>
    </w:r>
    <w:r>
      <w:rPr>
        <w:color w:val="5A5A5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