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20"/>
        <w:pBdr>
          <w:bottom w:val="single" w:sz="6" w:space="4" w:color="1F1F1F"/>
        </w:pBdr>
      </w:pPr>
      <w:r>
        <w:rPr>
          <w:b/>
          <w:color w:val="0A0A0A"/>
          <w:sz w:val="44"/>
        </w:rPr>
        <w:t>Documento de Regras de Negócio</w:t>
      </w:r>
    </w:p>
    <w:p>
      <w:pPr>
        <w:keepNext/>
        <w:spacing w:before="320" w:after="120"/>
        <w:pBdr>
          <w:bottom w:val="single" w:sz="4" w:space="4" w:color="C8C8C8"/>
        </w:pBdr>
      </w:pPr>
      <w:r>
        <w:rPr>
          <w:b/>
          <w:color w:val="0A0A0A"/>
          <w:sz w:val="32"/>
        </w:rPr>
        <w:t>Sistema CITO — Ferramenta de Pré-diagnóstico da Síndrome do X Frágil</w:t>
      </w:r>
    </w:p>
    <w:p>
      <w:pPr>
        <w:jc w:val="both"/>
      </w:pPr>
      <w:r>
        <w:rPr>
          <w:color w:val="0A0A0A"/>
          <w:sz w:val="21"/>
        </w:rPr>
        <w:t>Este documento descreve formalmente as regras que governam o comportamento do sistema CITO. O ponto de partida foi a especificação de integração (</w:t>
      </w:r>
      <w:r>
        <w:rPr>
          <w:rFonts w:ascii="Consolas" w:hAnsi="Consolas"/>
          <w:color w:val="1F1F1F"/>
          <w:sz w:val="19"/>
          <w:shd w:val="clear" w:fill="F2F2F2"/>
        </w:rPr>
        <w:t>docs/spec/SPEC.md</w:t>
      </w:r>
      <w:r>
        <w:rPr>
          <w:color w:val="0A0A0A"/>
          <w:sz w:val="21"/>
        </w:rPr>
        <w:t>), mas cada regra foi verificada e complementada contra o código-fonte real, o esquema do banco de dados e a camada de domínio, de modo a refletir o sistema como ele efetivamente opera hoje — e não apenas como foi planejado. Cada regra cita o limiar, validação, exceção ou restrição concreta que a faz cumprir.</w:t>
      </w:r>
    </w:p>
    <w:p>
      <w:pPr>
        <w:keepNext/>
        <w:spacing w:before="320" w:after="120"/>
        <w:pBdr>
          <w:bottom w:val="single" w:sz="6" w:space="4" w:color="1F1F1F"/>
        </w:pBdr>
      </w:pPr>
      <w:r>
        <w:rPr>
          <w:b/>
          <w:color w:val="0A0A0A"/>
          <w:sz w:val="44"/>
        </w:rPr>
        <w:t>1. Contexto e escopo clínico</w:t>
      </w:r>
    </w:p>
    <w:p>
      <w:pPr>
        <w:jc w:val="both"/>
      </w:pPr>
      <w:r>
        <w:rPr>
          <w:color w:val="0A0A0A"/>
          <w:sz w:val="21"/>
        </w:rPr>
        <w:t>A Síndrome do X Frágil (SXF/FXS) é a causa hereditária mais comum de deficiência intelectual e a causa monogênica mais comum de autismo, decorrente de mutação no gene FMR1. O diagnóstico definitivo é molecular (teste do FMR1).</w:t>
      </w:r>
    </w:p>
    <w:p>
      <w:pPr>
        <w:jc w:val="both"/>
      </w:pPr>
      <w:r>
        <w:rPr>
          <w:b/>
          <w:color w:val="0A0A0A"/>
          <w:sz w:val="21"/>
        </w:rPr>
        <w:t>RN-01 — Natureza de pré-diagnóstico.</w:t>
      </w:r>
      <w:r>
        <w:rPr>
          <w:color w:val="0A0A0A"/>
          <w:sz w:val="21"/>
        </w:rPr>
        <w:t xml:space="preserve"> O CITO realiza triagem (pré-diagnóstico), não diagnóstico. O desfecho do sistema é a recomendação de encaminhamento ao exame genético FMR1 (</w:t>
      </w:r>
      <w:r>
        <w:rPr>
          <w:rFonts w:ascii="Consolas" w:hAnsi="Consolas"/>
          <w:color w:val="1F1F1F"/>
          <w:sz w:val="19"/>
          <w:shd w:val="clear" w:fill="F2F2F2"/>
        </w:rPr>
        <w:t>recomenda_exame</w:t>
      </w:r>
      <w:r>
        <w:rPr>
          <w:color w:val="0A0A0A"/>
          <w:sz w:val="21"/>
        </w:rPr>
        <w:t>), nunca um veredito diagnóstico. Esta premissa orienta todas as demais regras.</w:t>
      </w:r>
    </w:p>
    <w:p>
      <w:pPr>
        <w:keepNext/>
        <w:spacing w:before="320" w:after="120"/>
        <w:pBdr>
          <w:bottom w:val="single" w:sz="6" w:space="4" w:color="1F1F1F"/>
        </w:pBdr>
      </w:pPr>
      <w:r>
        <w:rPr>
          <w:b/>
          <w:color w:val="0A0A0A"/>
          <w:sz w:val="44"/>
        </w:rPr>
        <w:t>2. Cadastro de paciente</w:t>
      </w:r>
    </w:p>
    <w:p>
      <w:pPr>
        <w:jc w:val="both"/>
      </w:pPr>
      <w:r>
        <w:rPr>
          <w:color w:val="0A0A0A"/>
          <w:sz w:val="21"/>
        </w:rPr>
        <w:t xml:space="preserve">Endpoint: </w:t>
      </w:r>
      <w:r>
        <w:rPr>
          <w:rFonts w:ascii="Consolas" w:hAnsi="Consolas"/>
          <w:color w:val="1F1F1F"/>
          <w:sz w:val="19"/>
          <w:shd w:val="clear" w:fill="F2F2F2"/>
        </w:rPr>
        <w:t>POST /api/v1/pacientes</w:t>
      </w:r>
      <w:r>
        <w:rPr>
          <w:color w:val="0A0A0A"/>
          <w:sz w:val="21"/>
        </w:rPr>
        <w:t xml:space="preserve">. Caso de uso: </w:t>
      </w:r>
      <w:r>
        <w:rPr>
          <w:rFonts w:ascii="Consolas" w:hAnsi="Consolas"/>
          <w:color w:val="1F1F1F"/>
          <w:sz w:val="19"/>
          <w:shd w:val="clear" w:fill="F2F2F2"/>
        </w:rPr>
        <w:t>RegisterPatientUseCase</w:t>
      </w:r>
      <w:r>
        <w:rPr>
          <w:color w:val="0A0A0A"/>
          <w:sz w:val="21"/>
        </w:rPr>
        <w:t xml:space="preserve">. Schema: </w:t>
      </w:r>
      <w:r>
        <w:rPr>
          <w:rFonts w:ascii="Consolas" w:hAnsi="Consolas"/>
          <w:color w:val="1F1F1F"/>
          <w:sz w:val="19"/>
          <w:shd w:val="clear" w:fill="F2F2F2"/>
        </w:rPr>
        <w:t>PatientCreateRequest</w:t>
      </w:r>
      <w:r>
        <w:rPr>
          <w:color w:val="0A0A0A"/>
          <w:sz w:val="21"/>
        </w:rPr>
        <w:t>.</w:t>
      </w:r>
    </w:p>
    <w:p>
      <w:pPr>
        <w:jc w:val="both"/>
      </w:pPr>
      <w:r>
        <w:rPr>
          <w:b/>
          <w:color w:val="0A0A0A"/>
          <w:sz w:val="21"/>
        </w:rPr>
        <w:t>RN-02 — Campos obrigatórios do paciente.</w:t>
      </w:r>
      <w:r>
        <w:rPr>
          <w:color w:val="0A0A0A"/>
          <w:sz w:val="21"/>
        </w:rPr>
        <w:t xml:space="preserve"> São obrigatórios apenas </w:t>
      </w:r>
      <w:r>
        <w:rPr>
          <w:rFonts w:ascii="Consolas" w:hAnsi="Consolas"/>
          <w:color w:val="1F1F1F"/>
          <w:sz w:val="19"/>
          <w:shd w:val="clear" w:fill="F2F2F2"/>
        </w:rPr>
        <w:t>nome</w:t>
      </w:r>
      <w:r>
        <w:rPr>
          <w:color w:val="0A0A0A"/>
          <w:sz w:val="21"/>
        </w:rPr>
        <w:t xml:space="preserve">, </w:t>
      </w:r>
      <w:r>
        <w:rPr>
          <w:rFonts w:ascii="Consolas" w:hAnsi="Consolas"/>
          <w:color w:val="1F1F1F"/>
          <w:sz w:val="19"/>
          <w:shd w:val="clear" w:fill="F2F2F2"/>
        </w:rPr>
        <w:t>data_nascimento</w:t>
      </w:r>
      <w:r>
        <w:rPr>
          <w:color w:val="0A0A0A"/>
          <w:sz w:val="21"/>
        </w:rPr>
        <w:t xml:space="preserve"> e </w:t>
      </w:r>
      <w:r>
        <w:rPr>
          <w:rFonts w:ascii="Consolas" w:hAnsi="Consolas"/>
          <w:color w:val="1F1F1F"/>
          <w:sz w:val="19"/>
          <w:shd w:val="clear" w:fill="F2F2F2"/>
        </w:rPr>
        <w:t>sexo</w:t>
      </w:r>
      <w:r>
        <w:rPr>
          <w:color w:val="0A0A0A"/>
          <w:sz w:val="21"/>
        </w:rPr>
        <w:t>. Todos os campos demográficos (etnia, UF, escolaridade, comorbidades, medicamentos, prematuridade, etc.) são opcionais, pois o banco permite NULL. Esta regra resultou de decisão registrada na especificação: o formulário do front-end não coleta vários campos, e exigi-los quebraria o cadastro.</w:t>
      </w:r>
    </w:p>
    <w:p>
      <w:pPr>
        <w:jc w:val="both"/>
      </w:pPr>
      <w:r>
        <w:rPr>
          <w:b/>
          <w:color w:val="0A0A0A"/>
          <w:sz w:val="21"/>
        </w:rPr>
        <w:t>RN-03 — Validações de formato do paciente.</w:t>
      </w:r>
      <w:r>
        <w:rPr>
          <w:color w:val="0A0A0A"/>
          <w:sz w:val="21"/>
        </w:rPr>
        <w:t xml:space="preserve"> O schema </w:t>
      </w:r>
      <w:r>
        <w:rPr>
          <w:rFonts w:ascii="Consolas" w:hAnsi="Consolas"/>
          <w:color w:val="1F1F1F"/>
          <w:sz w:val="19"/>
          <w:shd w:val="clear" w:fill="F2F2F2"/>
        </w:rPr>
        <w:t>PatientCreateRequest</w:t>
      </w:r>
      <w:r>
        <w:rPr>
          <w:color w:val="0A0A0A"/>
          <w:sz w:val="21"/>
        </w:rPr>
        <w:t xml:space="preserve"> (Pydantic, </w:t>
      </w:r>
      <w:r>
        <w:rPr>
          <w:rFonts w:ascii="Consolas" w:hAnsi="Consolas"/>
          <w:color w:val="1F1F1F"/>
          <w:sz w:val="19"/>
          <w:shd w:val="clear" w:fill="F2F2F2"/>
        </w:rPr>
        <w:t>extra="forbid"</w:t>
      </w:r>
      <w:r>
        <w:rPr>
          <w:color w:val="0A0A0A"/>
          <w:sz w:val="21"/>
        </w:rPr>
        <w:t xml:space="preserve">) impõe: </w:t>
      </w:r>
      <w:r>
        <w:rPr>
          <w:rFonts w:ascii="Consolas" w:hAnsi="Consolas"/>
          <w:color w:val="1F1F1F"/>
          <w:sz w:val="19"/>
          <w:shd w:val="clear" w:fill="F2F2F2"/>
        </w:rPr>
        <w:t>nome</w:t>
      </w:r>
      <w:r>
        <w:rPr>
          <w:color w:val="0A0A0A"/>
          <w:sz w:val="21"/>
        </w:rPr>
        <w:t xml:space="preserve"> entre 2 e 120 caracteres; </w:t>
      </w:r>
      <w:r>
        <w:rPr>
          <w:rFonts w:ascii="Consolas" w:hAnsi="Consolas"/>
          <w:color w:val="1F1F1F"/>
          <w:sz w:val="19"/>
          <w:shd w:val="clear" w:fill="F2F2F2"/>
        </w:rPr>
        <w:t>sexo</w:t>
      </w:r>
      <w:r>
        <w:rPr>
          <w:color w:val="0A0A0A"/>
          <w:sz w:val="21"/>
        </w:rPr>
        <w:t xml:space="preserve"> restrito ao padrão </w:t>
      </w:r>
      <w:r>
        <w:rPr>
          <w:rFonts w:ascii="Consolas" w:hAnsi="Consolas"/>
          <w:color w:val="1F1F1F"/>
          <w:sz w:val="19"/>
          <w:shd w:val="clear" w:fill="F2F2F2"/>
        </w:rPr>
        <w:t>^(M|F|I)$</w:t>
      </w:r>
      <w:r>
        <w:rPr>
          <w:color w:val="0A0A0A"/>
          <w:sz w:val="21"/>
        </w:rPr>
        <w:t xml:space="preserve">; </w:t>
      </w:r>
      <w:r>
        <w:rPr>
          <w:rFonts w:ascii="Consolas" w:hAnsi="Consolas"/>
          <w:color w:val="1F1F1F"/>
          <w:sz w:val="19"/>
          <w:shd w:val="clear" w:fill="F2F2F2"/>
        </w:rPr>
        <w:t>cpf</w:t>
      </w:r>
      <w:r>
        <w:rPr>
          <w:color w:val="0A0A0A"/>
          <w:sz w:val="21"/>
        </w:rPr>
        <w:t xml:space="preserve"> opcional, entre 11 e 14 caracteres; </w:t>
      </w:r>
      <w:r>
        <w:rPr>
          <w:rFonts w:ascii="Consolas" w:hAnsi="Consolas"/>
          <w:color w:val="1F1F1F"/>
          <w:sz w:val="19"/>
          <w:shd w:val="clear" w:fill="F2F2F2"/>
        </w:rPr>
        <w:t>uf_nascimento</w:t>
      </w:r>
      <w:r>
        <w:rPr>
          <w:color w:val="0A0A0A"/>
          <w:sz w:val="21"/>
        </w:rPr>
        <w:t xml:space="preserve"> e </w:t>
      </w:r>
      <w:r>
        <w:rPr>
          <w:rFonts w:ascii="Consolas" w:hAnsi="Consolas"/>
          <w:color w:val="1F1F1F"/>
          <w:sz w:val="19"/>
          <w:shd w:val="clear" w:fill="F2F2F2"/>
        </w:rPr>
        <w:t>uf_residencia</w:t>
      </w:r>
      <w:r>
        <w:rPr>
          <w:color w:val="0A0A0A"/>
          <w:sz w:val="21"/>
        </w:rPr>
        <w:t xml:space="preserve"> com no máximo 2 caracteres; </w:t>
      </w:r>
      <w:r>
        <w:rPr>
          <w:rFonts w:ascii="Consolas" w:hAnsi="Consolas"/>
          <w:color w:val="1F1F1F"/>
          <w:sz w:val="19"/>
          <w:shd w:val="clear" w:fill="F2F2F2"/>
        </w:rPr>
        <w:t>municipio_residencia</w:t>
      </w:r>
      <w:r>
        <w:rPr>
          <w:color w:val="0A0A0A"/>
          <w:sz w:val="21"/>
        </w:rPr>
        <w:t xml:space="preserve"> com no máximo 120. Qualquer campo não previsto no schema faz a requisição falhar com HTTP 422.</w:t>
      </w:r>
    </w:p>
    <w:p>
      <w:pPr>
        <w:jc w:val="both"/>
      </w:pPr>
      <w:r>
        <w:rPr>
          <w:b/>
          <w:color w:val="0A0A0A"/>
          <w:sz w:val="21"/>
        </w:rPr>
        <w:t>RN-04 — CPF nunca é armazenado; apenas seu hash.</w:t>
      </w:r>
      <w:r>
        <w:rPr>
          <w:color w:val="0A0A0A"/>
          <w:sz w:val="21"/>
        </w:rPr>
        <w:t xml:space="preserve"> O objeto de valor </w:t>
      </w:r>
      <w:r>
        <w:rPr>
          <w:rFonts w:ascii="Consolas" w:hAnsi="Consolas"/>
          <w:color w:val="1F1F1F"/>
          <w:sz w:val="19"/>
          <w:shd w:val="clear" w:fill="F2F2F2"/>
        </w:rPr>
        <w:t>CPF</w:t>
      </w:r>
      <w:r>
        <w:rPr>
          <w:color w:val="0A0A0A"/>
          <w:sz w:val="21"/>
        </w:rPr>
        <w:t xml:space="preserve"> valida que o número contém exatamente 11 dígitos numéricos (após remover pontos, traços e espaços); caso contrário, lança </w:t>
      </w:r>
      <w:r>
        <w:rPr>
          <w:rFonts w:ascii="Consolas" w:hAnsi="Consolas"/>
          <w:color w:val="1F1F1F"/>
          <w:sz w:val="19"/>
          <w:shd w:val="clear" w:fill="F2F2F2"/>
        </w:rPr>
        <w:t>ValueError</w:t>
      </w:r>
      <w:r>
        <w:rPr>
          <w:color w:val="0A0A0A"/>
          <w:sz w:val="21"/>
        </w:rPr>
        <w:t xml:space="preserve"> com a mensagem "CPF inválido: deve conter exatamente 11 dígitos numéricos". Apenas o hash SHA-256 do CPF (</w:t>
      </w:r>
      <w:r>
        <w:rPr>
          <w:rFonts w:ascii="Consolas" w:hAnsi="Consolas"/>
          <w:color w:val="1F1F1F"/>
          <w:sz w:val="19"/>
          <w:shd w:val="clear" w:fill="F2F2F2"/>
        </w:rPr>
        <w:t>cpf_hash</w:t>
      </w:r>
      <w:r>
        <w:rPr>
          <w:color w:val="0A0A0A"/>
          <w:sz w:val="21"/>
        </w:rPr>
        <w:t xml:space="preserve">) é persistido — o número em si nunca é gravado. O hash permite verificar duplicidade por igualdade sem guardar o dado. Adicionalmente, o </w:t>
      </w:r>
      <w:r>
        <w:rPr>
          <w:rFonts w:ascii="Consolas" w:hAnsi="Consolas"/>
          <w:color w:val="1F1F1F"/>
          <w:sz w:val="19"/>
          <w:shd w:val="clear" w:fill="F2F2F2"/>
        </w:rPr>
        <w:t>CPF</w:t>
      </w:r>
      <w:r>
        <w:rPr>
          <w:color w:val="0A0A0A"/>
          <w:sz w:val="21"/>
        </w:rPr>
        <w:t xml:space="preserve"> redige a si mesmo em representações textuais (</w:t>
      </w:r>
      <w:r>
        <w:rPr>
          <w:rFonts w:ascii="Consolas" w:hAnsi="Consolas"/>
          <w:color w:val="1F1F1F"/>
          <w:sz w:val="19"/>
          <w:shd w:val="clear" w:fill="F2F2F2"/>
        </w:rPr>
        <w:t>__repr__</w:t>
      </w:r>
      <w:r>
        <w:rPr>
          <w:color w:val="0A0A0A"/>
          <w:sz w:val="21"/>
        </w:rPr>
        <w:t>/</w:t>
      </w:r>
      <w:r>
        <w:rPr>
          <w:rFonts w:ascii="Consolas" w:hAnsi="Consolas"/>
          <w:color w:val="1F1F1F"/>
          <w:sz w:val="19"/>
          <w:shd w:val="clear" w:fill="F2F2F2"/>
        </w:rPr>
        <w:t>__str__</w:t>
      </w:r>
      <w:r>
        <w:rPr>
          <w:color w:val="0A0A0A"/>
          <w:sz w:val="21"/>
        </w:rPr>
        <w:t xml:space="preserve"> retornam </w:t>
      </w:r>
      <w:r>
        <w:rPr>
          <w:rFonts w:ascii="Consolas" w:hAnsi="Consolas"/>
          <w:color w:val="1F1F1F"/>
          <w:sz w:val="19"/>
          <w:shd w:val="clear" w:fill="F2F2F2"/>
        </w:rPr>
        <w:t>***redacted***</w:t>
      </w:r>
      <w:r>
        <w:rPr>
          <w:color w:val="0A0A0A"/>
          <w:sz w:val="21"/>
        </w:rPr>
        <w:t>), de modo que o número nunca aparece em log ou *traceback*.</w:t>
      </w:r>
    </w:p>
    <w:p>
      <w:pPr>
        <w:jc w:val="both"/>
      </w:pPr>
      <w:r>
        <w:rPr>
          <w:b/>
          <w:color w:val="0A0A0A"/>
          <w:sz w:val="21"/>
        </w:rPr>
        <w:t>RN-05 — Cifragem do nome no banco, não na aplicação.</w:t>
      </w:r>
      <w:r>
        <w:rPr>
          <w:color w:val="0A0A0A"/>
          <w:sz w:val="21"/>
        </w:rPr>
        <w:t xml:space="preserve"> O repositório insere o nome do paciente em claro na view </w:t>
      </w:r>
      <w:r>
        <w:rPr>
          <w:rFonts w:ascii="Consolas" w:hAnsi="Consolas"/>
          <w:color w:val="1F1F1F"/>
          <w:sz w:val="19"/>
          <w:shd w:val="clear" w:fill="F2F2F2"/>
        </w:rPr>
        <w:t>pacientes</w:t>
      </w:r>
      <w:r>
        <w:rPr>
          <w:color w:val="0A0A0A"/>
          <w:sz w:val="21"/>
        </w:rPr>
        <w:t xml:space="preserve">. O gatilho </w:t>
      </w:r>
      <w:r>
        <w:rPr>
          <w:rFonts w:ascii="Consolas" w:hAnsi="Consolas"/>
          <w:color w:val="1F1F1F"/>
          <w:sz w:val="19"/>
          <w:shd w:val="clear" w:fill="F2F2F2"/>
        </w:rPr>
        <w:t>INSTEAD OF INSERT</w:t>
      </w:r>
      <w:r>
        <w:rPr>
          <w:color w:val="0A0A0A"/>
          <w:sz w:val="21"/>
        </w:rPr>
        <w:t xml:space="preserve"> (</w:t>
      </w:r>
      <w:r>
        <w:rPr>
          <w:rFonts w:ascii="Consolas" w:hAnsi="Consolas"/>
          <w:color w:val="1F1F1F"/>
          <w:sz w:val="19"/>
          <w:shd w:val="clear" w:fill="F2F2F2"/>
        </w:rPr>
        <w:t>fn_pacientes_insert</w:t>
      </w:r>
      <w:r>
        <w:rPr>
          <w:color w:val="0A0A0A"/>
          <w:sz w:val="21"/>
        </w:rPr>
        <w:t xml:space="preserve">) aplica </w:t>
      </w:r>
      <w:r>
        <w:rPr>
          <w:rFonts w:ascii="Consolas" w:hAnsi="Consolas"/>
          <w:color w:val="1F1F1F"/>
          <w:sz w:val="19"/>
          <w:shd w:val="clear" w:fill="F2F2F2"/>
        </w:rPr>
        <w:t>pgp_sym_encrypt</w:t>
      </w:r>
      <w:r>
        <w:rPr>
          <w:color w:val="0A0A0A"/>
          <w:sz w:val="21"/>
        </w:rPr>
        <w:t xml:space="preserve"> e grava o resultado cifrado (BYTEA) em </w:t>
      </w:r>
      <w:r>
        <w:rPr>
          <w:rFonts w:ascii="Consolas" w:hAnsi="Consolas"/>
          <w:color w:val="1F1F1F"/>
          <w:sz w:val="19"/>
          <w:shd w:val="clear" w:fill="F2F2F2"/>
        </w:rPr>
        <w:t>tb_pacientes.nome_criptografado</w:t>
      </w:r>
      <w:r>
        <w:rPr>
          <w:color w:val="0A0A0A"/>
          <w:sz w:val="21"/>
        </w:rPr>
        <w:t>. A aplicação Python nunca cifra nada.</w:t>
      </w:r>
    </w:p>
    <w:p>
      <w:pPr>
        <w:jc w:val="both"/>
      </w:pPr>
      <w:r>
        <w:rPr>
          <w:b/>
          <w:color w:val="0A0A0A"/>
          <w:sz w:val="21"/>
        </w:rPr>
        <w:t>RN-06 — Deduplicação do acompanhante por CPF.</w:t>
      </w:r>
      <w:r>
        <w:rPr>
          <w:color w:val="0A0A0A"/>
          <w:sz w:val="21"/>
        </w:rPr>
        <w:t xml:space="preserve"> O bloco </w:t>
      </w:r>
      <w:r>
        <w:rPr>
          <w:rFonts w:ascii="Consolas" w:hAnsi="Consolas"/>
          <w:color w:val="1F1F1F"/>
          <w:sz w:val="19"/>
          <w:shd w:val="clear" w:fill="F2F2F2"/>
        </w:rPr>
        <w:t>acompanhante</w:t>
      </w:r>
      <w:r>
        <w:rPr>
          <w:color w:val="0A0A0A"/>
          <w:sz w:val="21"/>
        </w:rPr>
        <w:t xml:space="preserve"> é opcional; quando presente, exige </w:t>
      </w:r>
      <w:r>
        <w:rPr>
          <w:rFonts w:ascii="Consolas" w:hAnsi="Consolas"/>
          <w:color w:val="1F1F1F"/>
          <w:sz w:val="19"/>
          <w:shd w:val="clear" w:fill="F2F2F2"/>
        </w:rPr>
        <w:t>nome</w:t>
      </w:r>
      <w:r>
        <w:rPr>
          <w:color w:val="0A0A0A"/>
          <w:sz w:val="21"/>
        </w:rPr>
        <w:t xml:space="preserve"> (2 a 120 caracteres) e </w:t>
      </w:r>
      <w:r>
        <w:rPr>
          <w:rFonts w:ascii="Consolas" w:hAnsi="Consolas"/>
          <w:color w:val="1F1F1F"/>
          <w:sz w:val="19"/>
          <w:shd w:val="clear" w:fill="F2F2F2"/>
        </w:rPr>
        <w:t>relacao</w:t>
      </w:r>
      <w:r>
        <w:rPr>
          <w:color w:val="0A0A0A"/>
          <w:sz w:val="21"/>
        </w:rPr>
        <w:t xml:space="preserve"> (1 a 40 caracteres). Se o acompanhante informado já existe (mesmo </w:t>
      </w:r>
      <w:r>
        <w:rPr>
          <w:rFonts w:ascii="Consolas" w:hAnsi="Consolas"/>
          <w:color w:val="1F1F1F"/>
          <w:sz w:val="19"/>
          <w:shd w:val="clear" w:fill="F2F2F2"/>
        </w:rPr>
        <w:t>cpf_hash</w:t>
      </w:r>
      <w:r>
        <w:rPr>
          <w:color w:val="0A0A0A"/>
          <w:sz w:val="21"/>
        </w:rPr>
        <w:t xml:space="preserve">), o cadastro </w:t>
      </w:r>
      <w:r>
        <w:rPr>
          <w:b/>
          <w:color w:val="0A0A0A"/>
          <w:sz w:val="21"/>
        </w:rPr>
        <w:t>reaproveita</w:t>
      </w:r>
      <w:r>
        <w:rPr>
          <w:color w:val="0A0A0A"/>
          <w:sz w:val="21"/>
        </w:rPr>
        <w:t xml:space="preserve"> o registro existente; sem CPF, sempre cria um novo. Isso reflete a realidade de que um mesmo responsável pode cuidar de vários pacientes.</w:t>
      </w:r>
    </w:p>
    <w:p>
      <w:pPr>
        <w:jc w:val="both"/>
      </w:pPr>
      <w:r>
        <w:rPr>
          <w:b/>
          <w:color w:val="0A0A0A"/>
          <w:sz w:val="21"/>
        </w:rPr>
        <w:t>RN-07 — A relação do acompanhante vira grau de parentesco do paciente.</w:t>
      </w:r>
      <w:r>
        <w:rPr>
          <w:color w:val="0A0A0A"/>
          <w:sz w:val="21"/>
        </w:rPr>
        <w:t xml:space="preserve"> O grau de parentesco ("Mãe", "Pai", etc.) é enviado dentro do bloco </w:t>
      </w:r>
      <w:r>
        <w:rPr>
          <w:rFonts w:ascii="Consolas" w:hAnsi="Consolas"/>
          <w:color w:val="1F1F1F"/>
          <w:sz w:val="19"/>
          <w:shd w:val="clear" w:fill="F2F2F2"/>
        </w:rPr>
        <w:t>acompanhante</w:t>
      </w:r>
      <w:r>
        <w:rPr>
          <w:color w:val="0A0A0A"/>
          <w:sz w:val="21"/>
        </w:rPr>
        <w:t xml:space="preserve"> (campo </w:t>
      </w:r>
      <w:r>
        <w:rPr>
          <w:rFonts w:ascii="Consolas" w:hAnsi="Consolas"/>
          <w:color w:val="1F1F1F"/>
          <w:sz w:val="19"/>
          <w:shd w:val="clear" w:fill="F2F2F2"/>
        </w:rPr>
        <w:t>relacao</w:t>
      </w:r>
      <w:r>
        <w:rPr>
          <w:color w:val="0A0A0A"/>
          <w:sz w:val="21"/>
        </w:rPr>
        <w:t xml:space="preserve">), mas é armazenado na coluna </w:t>
      </w:r>
      <w:r>
        <w:rPr>
          <w:rFonts w:ascii="Consolas" w:hAnsi="Consolas"/>
          <w:color w:val="1F1F1F"/>
          <w:sz w:val="19"/>
          <w:shd w:val="clear" w:fill="F2F2F2"/>
        </w:rPr>
        <w:t>grau_parentesco</w:t>
      </w:r>
      <w:r>
        <w:rPr>
          <w:color w:val="0A0A0A"/>
          <w:sz w:val="21"/>
        </w:rPr>
        <w:t xml:space="preserve"> do paciente, conforme a modelagem do banco.</w:t>
      </w:r>
    </w:p>
    <w:p>
      <w:pPr>
        <w:jc w:val="both"/>
      </w:pPr>
      <w:r>
        <w:rPr>
          <w:b/>
          <w:color w:val="0A0A0A"/>
          <w:sz w:val="21"/>
        </w:rPr>
        <w:t>RN-08 — Identidade inteira atribuída pelo banco.</w:t>
      </w:r>
      <w:r>
        <w:rPr>
          <w:color w:val="0A0A0A"/>
          <w:sz w:val="21"/>
        </w:rPr>
        <w:t xml:space="preserve"> A entidade </w:t>
      </w:r>
      <w:r>
        <w:rPr>
          <w:rFonts w:ascii="Consolas" w:hAnsi="Consolas"/>
          <w:color w:val="1F1F1F"/>
          <w:sz w:val="19"/>
          <w:shd w:val="clear" w:fill="F2F2F2"/>
        </w:rPr>
        <w:t>Patient</w:t>
      </w:r>
      <w:r>
        <w:rPr>
          <w:color w:val="0A0A0A"/>
          <w:sz w:val="21"/>
        </w:rPr>
        <w:t xml:space="preserve"> nasce com </w:t>
      </w:r>
      <w:r>
        <w:rPr>
          <w:rFonts w:ascii="Consolas" w:hAnsi="Consolas"/>
          <w:color w:val="1F1F1F"/>
          <w:sz w:val="19"/>
          <w:shd w:val="clear" w:fill="F2F2F2"/>
        </w:rPr>
        <w:t>id = None</w:t>
      </w:r>
      <w:r>
        <w:rPr>
          <w:color w:val="0A0A0A"/>
          <w:sz w:val="21"/>
        </w:rPr>
        <w:t xml:space="preserve">; o INSERT é feito sem id e usa </w:t>
      </w:r>
      <w:r>
        <w:rPr>
          <w:rFonts w:ascii="Consolas" w:hAnsi="Consolas"/>
          <w:color w:val="1F1F1F"/>
          <w:sz w:val="19"/>
          <w:shd w:val="clear" w:fill="F2F2F2"/>
        </w:rPr>
        <w:t>RETURNING id</w:t>
      </w:r>
      <w:r>
        <w:rPr>
          <w:color w:val="0A0A0A"/>
          <w:sz w:val="21"/>
        </w:rPr>
        <w:t xml:space="preserve">, e o identificador </w:t>
      </w:r>
      <w:r>
        <w:rPr>
          <w:rFonts w:ascii="Consolas" w:hAnsi="Consolas"/>
          <w:color w:val="1F1F1F"/>
          <w:sz w:val="19"/>
          <w:shd w:val="clear" w:fill="F2F2F2"/>
        </w:rPr>
        <w:t>SERIAL</w:t>
      </w:r>
      <w:r>
        <w:rPr>
          <w:color w:val="0A0A0A"/>
          <w:sz w:val="21"/>
        </w:rPr>
        <w:t xml:space="preserve"> gerado pelo banco é então fixado na entidade. Identificadores são inteiros sequenciais, não UUID.</w:t>
      </w:r>
    </w:p>
    <w:p>
      <w:pPr>
        <w:keepNext/>
        <w:spacing w:before="320" w:after="120"/>
        <w:pBdr>
          <w:bottom w:val="single" w:sz="6" w:space="4" w:color="1F1F1F"/>
        </w:pBdr>
      </w:pPr>
      <w:r>
        <w:rPr>
          <w:b/>
          <w:color w:val="0A0A0A"/>
          <w:sz w:val="44"/>
        </w:rPr>
        <w:t>3. Listagem, prontuário e ciclo de vida do paciente</w:t>
      </w:r>
    </w:p>
    <w:p>
      <w:pPr>
        <w:jc w:val="both"/>
      </w:pPr>
      <w:r>
        <w:rPr>
          <w:b/>
          <w:color w:val="0A0A0A"/>
          <w:sz w:val="21"/>
        </w:rPr>
        <w:t>RN-09 — Escopo por médico dono (RBAC de aplicação).</w:t>
      </w:r>
      <w:r>
        <w:rPr>
          <w:color w:val="0A0A0A"/>
          <w:sz w:val="21"/>
        </w:rPr>
        <w:t xml:space="preserve"> Toda consulta de pacientes é filtrada por </w:t>
      </w:r>
      <w:r>
        <w:rPr>
          <w:rFonts w:ascii="Consolas" w:hAnsi="Consolas"/>
          <w:color w:val="1F1F1F"/>
          <w:sz w:val="19"/>
          <w:shd w:val="clear" w:fill="F2F2F2"/>
        </w:rPr>
        <w:t>WHERE criado_por = :usuario_id</w:t>
      </w:r>
      <w:r>
        <w:rPr>
          <w:color w:val="0A0A0A"/>
          <w:sz w:val="21"/>
        </w:rPr>
        <w:t xml:space="preserve"> (o </w:t>
      </w:r>
      <w:r>
        <w:rPr>
          <w:rFonts w:ascii="Consolas" w:hAnsi="Consolas"/>
          <w:color w:val="1F1F1F"/>
          <w:sz w:val="19"/>
          <w:shd w:val="clear" w:fill="F2F2F2"/>
        </w:rPr>
        <w:t>usuario_id</w:t>
      </w:r>
      <w:r>
        <w:rPr>
          <w:color w:val="0A0A0A"/>
          <w:sz w:val="21"/>
        </w:rPr>
        <w:t xml:space="preserve"> vem do JWT). Um médico só enxerga e manipula os pacientes que ele cadastrou. Como os identificadores são sequenciais e, portanto, adivinháveis, esse filtro por dono é a defesa contra acesso indevido a objetos (IDOR) e é obrigatório em qualquer consulta nova.</w:t>
      </w:r>
    </w:p>
    <w:p>
      <w:pPr>
        <w:jc w:val="both"/>
      </w:pPr>
      <w:r>
        <w:rPr>
          <w:b/>
          <w:color w:val="0A0A0A"/>
          <w:sz w:val="21"/>
        </w:rPr>
        <w:t>RN-10 — Limite de paginação.</w:t>
      </w:r>
      <w:r>
        <w:rPr>
          <w:color w:val="0A0A0A"/>
          <w:sz w:val="21"/>
        </w:rPr>
        <w:t xml:space="preserve"> A listagem de pacientes aceita </w:t>
      </w:r>
      <w:r>
        <w:rPr>
          <w:rFonts w:ascii="Consolas" w:hAnsi="Consolas"/>
          <w:color w:val="1F1F1F"/>
          <w:sz w:val="19"/>
          <w:shd w:val="clear" w:fill="F2F2F2"/>
        </w:rPr>
        <w:t>limit</w:t>
      </w:r>
      <w:r>
        <w:rPr>
          <w:color w:val="0A0A0A"/>
          <w:sz w:val="21"/>
        </w:rPr>
        <w:t xml:space="preserve"> entre 1 e 200 (padrão 50) e </w:t>
      </w:r>
      <w:r>
        <w:rPr>
          <w:rFonts w:ascii="Consolas" w:hAnsi="Consolas"/>
          <w:color w:val="1F1F1F"/>
          <w:sz w:val="19"/>
          <w:shd w:val="clear" w:fill="F2F2F2"/>
        </w:rPr>
        <w:t>offset</w:t>
      </w:r>
      <w:r>
        <w:rPr>
          <w:color w:val="0A0A0A"/>
          <w:sz w:val="21"/>
        </w:rPr>
        <w:t xml:space="preserve"> ≥ 0. O mesmo teto de 200 vale para o histórico de avaliações.</w:t>
      </w:r>
    </w:p>
    <w:p>
      <w:pPr>
        <w:jc w:val="both"/>
      </w:pPr>
      <w:r>
        <w:rPr>
          <w:b/>
          <w:color w:val="0A0A0A"/>
          <w:sz w:val="21"/>
        </w:rPr>
        <w:t>RN-11 — Busca por nome é feita no servidor.</w:t>
      </w:r>
      <w:r>
        <w:rPr>
          <w:color w:val="0A0A0A"/>
          <w:sz w:val="21"/>
        </w:rPr>
        <w:t xml:space="preserve"> Como o nome pode não estar disponível em claro no cliente, a busca textual usa </w:t>
      </w:r>
      <w:r>
        <w:rPr>
          <w:rFonts w:ascii="Consolas" w:hAnsi="Consolas"/>
          <w:color w:val="1F1F1F"/>
          <w:sz w:val="19"/>
          <w:shd w:val="clear" w:fill="F2F2F2"/>
        </w:rPr>
        <w:t>ILIKE</w:t>
      </w:r>
      <w:r>
        <w:rPr>
          <w:color w:val="0A0A0A"/>
          <w:sz w:val="21"/>
        </w:rPr>
        <w:t xml:space="preserve"> no servidor (a view decifra o nome antes da comparação). O front-end envia o filtro via parâmetro </w:t>
      </w:r>
      <w:r>
        <w:rPr>
          <w:rFonts w:ascii="Consolas" w:hAnsi="Consolas"/>
          <w:color w:val="1F1F1F"/>
          <w:sz w:val="19"/>
          <w:shd w:val="clear" w:fill="F2F2F2"/>
        </w:rPr>
        <w:t>?nome=</w:t>
      </w:r>
      <w:r>
        <w:rPr>
          <w:color w:val="0A0A0A"/>
          <w:sz w:val="21"/>
        </w:rPr>
        <w:t xml:space="preserve"> com *debounce*.</w:t>
      </w:r>
    </w:p>
    <w:p>
      <w:pPr>
        <w:jc w:val="both"/>
      </w:pPr>
      <w:r>
        <w:rPr>
          <w:b/>
          <w:color w:val="0A0A0A"/>
          <w:sz w:val="21"/>
        </w:rPr>
        <w:t>RN-12 — Acesso ao prontuário restrito ao dono.</w:t>
      </w:r>
      <w:r>
        <w:rPr>
          <w:color w:val="0A0A0A"/>
          <w:sz w:val="21"/>
        </w:rPr>
        <w:t xml:space="preserve"> O detalhe de um paciente (</w:t>
      </w:r>
      <w:r>
        <w:rPr>
          <w:rFonts w:ascii="Consolas" w:hAnsi="Consolas"/>
          <w:color w:val="1F1F1F"/>
          <w:sz w:val="19"/>
          <w:shd w:val="clear" w:fill="F2F2F2"/>
        </w:rPr>
        <w:t>GET /pacientes/{id}</w:t>
      </w:r>
      <w:r>
        <w:rPr>
          <w:color w:val="0A0A0A"/>
          <w:sz w:val="21"/>
        </w:rPr>
        <w:t>) só é retornado se o paciente pertencer ao médico autenticado (</w:t>
      </w:r>
      <w:r>
        <w:rPr>
          <w:rFonts w:ascii="Consolas" w:hAnsi="Consolas"/>
          <w:color w:val="1F1F1F"/>
          <w:sz w:val="19"/>
          <w:shd w:val="clear" w:fill="F2F2F2"/>
        </w:rPr>
        <w:t>WHERE p.id = :id AND p.criado_por = :usuario_id</w:t>
      </w:r>
      <w:r>
        <w:rPr>
          <w:color w:val="0A0A0A"/>
          <w:sz w:val="21"/>
        </w:rPr>
        <w:t>). Caso contrário, o sistema responde HTTP 404 "Paciente não encontrado" — sem distinguir entre inexistência e pertencimento a outro médico.</w:t>
      </w:r>
    </w:p>
    <w:p>
      <w:pPr>
        <w:jc w:val="both"/>
      </w:pPr>
      <w:r>
        <w:rPr>
          <w:b/>
          <w:color w:val="0A0A0A"/>
          <w:sz w:val="21"/>
        </w:rPr>
        <w:t>RN-13 — Exclusão lógica (arquivamento).</w:t>
      </w:r>
      <w:r>
        <w:rPr>
          <w:color w:val="0A0A0A"/>
          <w:sz w:val="21"/>
        </w:rPr>
        <w:t xml:space="preserve"> </w:t>
      </w:r>
      <w:r>
        <w:rPr>
          <w:rFonts w:ascii="Consolas" w:hAnsi="Consolas"/>
          <w:color w:val="1F1F1F"/>
          <w:sz w:val="19"/>
          <w:shd w:val="clear" w:fill="F2F2F2"/>
        </w:rPr>
        <w:t>PATCH /pacientes/{id}</w:t>
      </w:r>
      <w:r>
        <w:rPr>
          <w:color w:val="0A0A0A"/>
          <w:sz w:val="21"/>
        </w:rPr>
        <w:t xml:space="preserve"> arquiva (</w:t>
      </w:r>
      <w:r>
        <w:rPr>
          <w:rFonts w:ascii="Consolas" w:hAnsi="Consolas"/>
          <w:color w:val="1F1F1F"/>
          <w:sz w:val="19"/>
          <w:shd w:val="clear" w:fill="F2F2F2"/>
        </w:rPr>
        <w:t>ativo = FALSE</w:t>
      </w:r>
      <w:r>
        <w:rPr>
          <w:color w:val="0A0A0A"/>
          <w:sz w:val="21"/>
        </w:rPr>
        <w:t>) ou reativa (</w:t>
      </w:r>
      <w:r>
        <w:rPr>
          <w:rFonts w:ascii="Consolas" w:hAnsi="Consolas"/>
          <w:color w:val="1F1F1F"/>
          <w:sz w:val="19"/>
          <w:shd w:val="clear" w:fill="F2F2F2"/>
        </w:rPr>
        <w:t>ativo = TRUE</w:t>
      </w:r>
      <w:r>
        <w:rPr>
          <w:color w:val="0A0A0A"/>
          <w:sz w:val="21"/>
        </w:rPr>
        <w:t xml:space="preserve">) um paciente do próprio médico. Pacientes arquivados são omitidos da listagem por padrão; só aparecem quando se informa </w:t>
      </w:r>
      <w:r>
        <w:rPr>
          <w:rFonts w:ascii="Consolas" w:hAnsi="Consolas"/>
          <w:color w:val="1F1F1F"/>
          <w:sz w:val="19"/>
          <w:shd w:val="clear" w:fill="F2F2F2"/>
        </w:rPr>
        <w:t>incluir_inativos=true</w:t>
      </w:r>
      <w:r>
        <w:rPr>
          <w:color w:val="0A0A0A"/>
          <w:sz w:val="21"/>
        </w:rPr>
        <w:t xml:space="preserve">. Se o paciente não pertencer ao médico, o caso de uso lança </w:t>
      </w:r>
      <w:r>
        <w:rPr>
          <w:rFonts w:ascii="Consolas" w:hAnsi="Consolas"/>
          <w:color w:val="1F1F1F"/>
          <w:sz w:val="19"/>
          <w:shd w:val="clear" w:fill="F2F2F2"/>
        </w:rPr>
        <w:t>NotFoundError</w:t>
      </w:r>
      <w:r>
        <w:rPr>
          <w:color w:val="0A0A0A"/>
          <w:sz w:val="21"/>
        </w:rPr>
        <w:t xml:space="preserve"> (HTTP 404).</w:t>
      </w:r>
    </w:p>
    <w:p>
      <w:pPr>
        <w:jc w:val="both"/>
      </w:pPr>
      <w:r>
        <w:rPr>
          <w:b/>
          <w:color w:val="0A0A0A"/>
          <w:sz w:val="21"/>
        </w:rPr>
        <w:t>RN-14 — Exclusão definitiva exige confirmação por senha.</w:t>
      </w:r>
      <w:r>
        <w:rPr>
          <w:color w:val="0A0A0A"/>
          <w:sz w:val="21"/>
        </w:rPr>
        <w:t xml:space="preserve"> </w:t>
      </w:r>
      <w:r>
        <w:rPr>
          <w:rFonts w:ascii="Consolas" w:hAnsi="Consolas"/>
          <w:color w:val="1F1F1F"/>
          <w:sz w:val="19"/>
          <w:shd w:val="clear" w:fill="F2F2F2"/>
        </w:rPr>
        <w:t>DELETE /pacientes/{id}</w:t>
      </w:r>
      <w:r>
        <w:rPr>
          <w:color w:val="0A0A0A"/>
          <w:sz w:val="21"/>
        </w:rPr>
        <w:t xml:space="preserve"> remove o paciente e todos os registros dependentes em cascata (avaliações, respostas, histórico familiar, encaminhamentos, logs de análise, agendamentos). A operação é confirmada com a senha do próprio médico requisitante. </w:t>
      </w:r>
      <w:r>
        <w:rPr>
          <w:b/>
          <w:color w:val="0A0A0A"/>
          <w:sz w:val="21"/>
        </w:rPr>
        <w:t>Senha incorreta resulta em HTTP 422 (`DomainError` "Senha incorreta."), nunca em HTTP 401</w:t>
      </w:r>
      <w:r>
        <w:rPr>
          <w:color w:val="0A0A0A"/>
          <w:sz w:val="21"/>
        </w:rPr>
        <w:t xml:space="preserve"> — decisão deliberada, pois o front-end trata 401 como expiração de sessão e deslogaria o usuário. Antes de excluir, o sistema verifica também o pertencimento (</w:t>
      </w:r>
      <w:r>
        <w:rPr>
          <w:rFonts w:ascii="Consolas" w:hAnsi="Consolas"/>
          <w:color w:val="1F1F1F"/>
          <w:sz w:val="19"/>
          <w:shd w:val="clear" w:fill="F2F2F2"/>
        </w:rPr>
        <w:t>belongs_to</w:t>
      </w:r>
      <w:r>
        <w:rPr>
          <w:color w:val="0A0A0A"/>
          <w:sz w:val="21"/>
        </w:rPr>
        <w:t>), respondendo 404 se o paciente não for do médico.</w:t>
      </w:r>
    </w:p>
    <w:p>
      <w:pPr>
        <w:jc w:val="both"/>
      </w:pPr>
      <w:r>
        <w:rPr>
          <w:b/>
          <w:color w:val="0A0A0A"/>
          <w:sz w:val="21"/>
        </w:rPr>
        <w:t>RN-15 — Foto do paciente.</w:t>
      </w:r>
      <w:r>
        <w:rPr>
          <w:color w:val="0A0A0A"/>
          <w:sz w:val="21"/>
        </w:rPr>
        <w:t xml:space="preserve"> O upload de foto (</w:t>
      </w:r>
      <w:r>
        <w:rPr>
          <w:rFonts w:ascii="Consolas" w:hAnsi="Consolas"/>
          <w:color w:val="1F1F1F"/>
          <w:sz w:val="19"/>
          <w:shd w:val="clear" w:fill="F2F2F2"/>
        </w:rPr>
        <w:t>POST /pacientes/{id}/foto</w:t>
      </w:r>
      <w:r>
        <w:rPr>
          <w:color w:val="0A0A0A"/>
          <w:sz w:val="21"/>
        </w:rPr>
        <w:t xml:space="preserve">) aceita uma imagem em base64, validada (base64 inválido resulta em 422), e a grava no sistema de arquivos em </w:t>
      </w:r>
      <w:r>
        <w:rPr>
          <w:rFonts w:ascii="Consolas" w:hAnsi="Consolas"/>
          <w:color w:val="1F1F1F"/>
          <w:sz w:val="19"/>
          <w:shd w:val="clear" w:fill="F2F2F2"/>
        </w:rPr>
        <w:t>frontend/assets/uploads/paciente_{id}.jpg</w:t>
      </w:r>
      <w:r>
        <w:rPr>
          <w:color w:val="0A0A0A"/>
          <w:sz w:val="21"/>
        </w:rPr>
        <w:t>. A foto só pode ser enviada/removida para pacientes do próprio médico (verificado via detalhe; 404 caso contrário). A exclusão definitiva do paciente também remove sua foto.</w:t>
      </w:r>
    </w:p>
    <w:p>
      <w:pPr>
        <w:keepNext/>
        <w:spacing w:before="320" w:after="120"/>
        <w:pBdr>
          <w:bottom w:val="single" w:sz="6" w:space="4" w:color="1F1F1F"/>
        </w:pBdr>
      </w:pPr>
      <w:r>
        <w:rPr>
          <w:b/>
          <w:color w:val="0A0A0A"/>
          <w:sz w:val="44"/>
        </w:rPr>
        <w:t>4. Submissão de anamnese e cálculo do escore</w:t>
      </w:r>
    </w:p>
    <w:p>
      <w:pPr>
        <w:jc w:val="both"/>
      </w:pPr>
      <w:r>
        <w:rPr>
          <w:color w:val="0A0A0A"/>
          <w:sz w:val="21"/>
        </w:rPr>
        <w:t xml:space="preserve">Endpoint: </w:t>
      </w:r>
      <w:r>
        <w:rPr>
          <w:rFonts w:ascii="Consolas" w:hAnsi="Consolas"/>
          <w:color w:val="1F1F1F"/>
          <w:sz w:val="19"/>
          <w:shd w:val="clear" w:fill="F2F2F2"/>
        </w:rPr>
        <w:t>POST /api/v1/avaliacoes</w:t>
      </w:r>
      <w:r>
        <w:rPr>
          <w:color w:val="0A0A0A"/>
          <w:sz w:val="21"/>
        </w:rPr>
        <w:t xml:space="preserve">. Caso de uso: </w:t>
      </w:r>
      <w:r>
        <w:rPr>
          <w:rFonts w:ascii="Consolas" w:hAnsi="Consolas"/>
          <w:color w:val="1F1F1F"/>
          <w:sz w:val="19"/>
          <w:shd w:val="clear" w:fill="F2F2F2"/>
        </w:rPr>
        <w:t>SubmitAnamnesisUseCase</w:t>
      </w:r>
      <w:r>
        <w:rPr>
          <w:color w:val="0A0A0A"/>
          <w:sz w:val="21"/>
        </w:rPr>
        <w:t xml:space="preserve">. Schema: </w:t>
      </w:r>
      <w:r>
        <w:rPr>
          <w:rFonts w:ascii="Consolas" w:hAnsi="Consolas"/>
          <w:color w:val="1F1F1F"/>
          <w:sz w:val="19"/>
          <w:shd w:val="clear" w:fill="F2F2F2"/>
        </w:rPr>
        <w:t>SubmitAnamnesisRequest</w:t>
      </w:r>
      <w:r>
        <w:rPr>
          <w:color w:val="0A0A0A"/>
          <w:sz w:val="21"/>
        </w:rPr>
        <w:t>.</w:t>
      </w:r>
    </w:p>
    <w:p>
      <w:pPr>
        <w:jc w:val="both"/>
      </w:pPr>
      <w:r>
        <w:rPr>
          <w:b/>
          <w:color w:val="0A0A0A"/>
          <w:sz w:val="21"/>
        </w:rPr>
        <w:t>RN-16 — Submissão consolidada e atômica.</w:t>
      </w:r>
      <w:r>
        <w:rPr>
          <w:color w:val="0A0A0A"/>
          <w:sz w:val="21"/>
        </w:rPr>
        <w:t xml:space="preserve"> A finalização de uma triagem ocorre em um único endpoint e em uma única transação. O fluxo persiste, em sequência: a avaliação (rascunho), o acompanhante da visita, o registro de análise, as respostas do checklist e o histórico familiar; em seguida calcula o escore; cria o encaminhamento quando recomendado; e registra a auditoria. Qualquer falha desfaz a transação inteira (rollback).</w:t>
      </w:r>
    </w:p>
    <w:p>
      <w:pPr>
        <w:jc w:val="both"/>
      </w:pPr>
      <w:r>
        <w:rPr>
          <w:b/>
          <w:color w:val="0A0A0A"/>
          <w:sz w:val="21"/>
        </w:rPr>
        <w:t>RN-17 — O checklist não pode ser vazio.</w:t>
      </w:r>
      <w:r>
        <w:rPr>
          <w:color w:val="0A0A0A"/>
          <w:sz w:val="21"/>
        </w:rPr>
        <w:t xml:space="preserve"> O campo </w:t>
      </w:r>
      <w:r>
        <w:rPr>
          <w:rFonts w:ascii="Consolas" w:hAnsi="Consolas"/>
          <w:color w:val="1F1F1F"/>
          <w:sz w:val="19"/>
          <w:shd w:val="clear" w:fill="F2F2F2"/>
        </w:rPr>
        <w:t>respostas</w:t>
      </w:r>
      <w:r>
        <w:rPr>
          <w:color w:val="0A0A0A"/>
          <w:sz w:val="21"/>
        </w:rPr>
        <w:t xml:space="preserve"> exige </w:t>
      </w:r>
      <w:r>
        <w:rPr>
          <w:rFonts w:ascii="Consolas" w:hAnsi="Consolas"/>
          <w:color w:val="1F1F1F"/>
          <w:sz w:val="19"/>
          <w:shd w:val="clear" w:fill="F2F2F2"/>
        </w:rPr>
        <w:t>min_length=1</w:t>
      </w:r>
      <w:r>
        <w:rPr>
          <w:color w:val="0A0A0A"/>
          <w:sz w:val="21"/>
        </w:rPr>
        <w:t xml:space="preserve">: ao menos uma resposta de sintoma deve ser enviada, ou a validação falha com HTTP 422. Cada resposta tem </w:t>
      </w:r>
      <w:r>
        <w:rPr>
          <w:rFonts w:ascii="Consolas" w:hAnsi="Consolas"/>
          <w:color w:val="1F1F1F"/>
          <w:sz w:val="19"/>
          <w:shd w:val="clear" w:fill="F2F2F2"/>
        </w:rPr>
        <w:t>sintoma_id</w:t>
      </w:r>
      <w:r>
        <w:rPr>
          <w:color w:val="0A0A0A"/>
          <w:sz w:val="21"/>
        </w:rPr>
        <w:t xml:space="preserve"> ≥ 1, </w:t>
      </w:r>
      <w:r>
        <w:rPr>
          <w:rFonts w:ascii="Consolas" w:hAnsi="Consolas"/>
          <w:color w:val="1F1F1F"/>
          <w:sz w:val="19"/>
          <w:shd w:val="clear" w:fill="F2F2F2"/>
        </w:rPr>
        <w:t>presente</w:t>
      </w:r>
      <w:r>
        <w:rPr>
          <w:color w:val="0A0A0A"/>
          <w:sz w:val="21"/>
        </w:rPr>
        <w:t xml:space="preserve"> (booleano) e </w:t>
      </w:r>
      <w:r>
        <w:rPr>
          <w:rFonts w:ascii="Consolas" w:hAnsi="Consolas"/>
          <w:color w:val="1F1F1F"/>
          <w:sz w:val="19"/>
          <w:shd w:val="clear" w:fill="F2F2F2"/>
        </w:rPr>
        <w:t>observacao</w:t>
      </w:r>
      <w:r>
        <w:rPr>
          <w:color w:val="0A0A0A"/>
          <w:sz w:val="21"/>
        </w:rPr>
        <w:t xml:space="preserve"> opcional (máx. 500 caracteres).</w:t>
      </w:r>
    </w:p>
    <w:p>
      <w:pPr>
        <w:jc w:val="both"/>
      </w:pPr>
      <w:r>
        <w:rPr>
          <w:b/>
          <w:color w:val="0A0A0A"/>
          <w:sz w:val="21"/>
        </w:rPr>
        <w:t>RN-18 — O escore é calculado no banco de dados.</w:t>
      </w:r>
      <w:r>
        <w:rPr>
          <w:color w:val="0A0A0A"/>
          <w:sz w:val="21"/>
        </w:rPr>
        <w:t xml:space="preserve"> A regra de escore não está em Python. O </w:t>
      </w:r>
      <w:r>
        <w:rPr>
          <w:rFonts w:ascii="Consolas" w:hAnsi="Consolas"/>
          <w:color w:val="1F1F1F"/>
          <w:sz w:val="19"/>
          <w:shd w:val="clear" w:fill="F2F2F2"/>
        </w:rPr>
        <w:t>SymptomScoringOrchestrator</w:t>
      </w:r>
      <w:r>
        <w:rPr>
          <w:color w:val="0A0A0A"/>
          <w:sz w:val="21"/>
        </w:rPr>
        <w:t xml:space="preserve"> apenas executa </w:t>
      </w:r>
      <w:r>
        <w:rPr>
          <w:rFonts w:ascii="Consolas" w:hAnsi="Consolas"/>
          <w:color w:val="1F1F1F"/>
          <w:sz w:val="19"/>
          <w:shd w:val="clear" w:fill="F2F2F2"/>
        </w:rPr>
        <w:t>SELECT * FROM fn_calcular_score_triagem(:avaliacao_id)</w:t>
      </w:r>
      <w:r>
        <w:rPr>
          <w:color w:val="0A0A0A"/>
          <w:sz w:val="21"/>
        </w:rPr>
        <w:t xml:space="preserve">. A função do banco lê as respostas, multiplica cada sintoma presente pelo peso correspondente ao sexo do paciente, soma para obter o </w:t>
      </w:r>
      <w:r>
        <w:rPr>
          <w:rFonts w:ascii="Consolas" w:hAnsi="Consolas"/>
          <w:color w:val="1F1F1F"/>
          <w:sz w:val="19"/>
          <w:shd w:val="clear" w:fill="F2F2F2"/>
        </w:rPr>
        <w:t>score_final</w:t>
      </w:r>
      <w:r>
        <w:rPr>
          <w:color w:val="0A0A0A"/>
          <w:sz w:val="21"/>
        </w:rPr>
        <w:t xml:space="preserve">, compara com o limiar vigente, registra a análise em </w:t>
      </w:r>
      <w:r>
        <w:rPr>
          <w:rFonts w:ascii="Consolas" w:hAnsi="Consolas"/>
          <w:color w:val="1F1F1F"/>
          <w:sz w:val="19"/>
          <w:shd w:val="clear" w:fill="F2F2F2"/>
        </w:rPr>
        <w:t>tb_log_analises</w:t>
      </w:r>
      <w:r>
        <w:rPr>
          <w:color w:val="0A0A0A"/>
          <w:sz w:val="21"/>
        </w:rPr>
        <w:t xml:space="preserve"> e atualiza </w:t>
      </w:r>
      <w:r>
        <w:rPr>
          <w:rFonts w:ascii="Consolas" w:hAnsi="Consolas"/>
          <w:color w:val="1F1F1F"/>
          <w:sz w:val="19"/>
          <w:shd w:val="clear" w:fill="F2F2F2"/>
        </w:rPr>
        <w:t>tb_avaliacoes</w:t>
      </w:r>
      <w:r>
        <w:rPr>
          <w:color w:val="0A0A0A"/>
          <w:sz w:val="21"/>
        </w:rPr>
        <w:t xml:space="preserve"> (mudando o </w:t>
      </w:r>
      <w:r>
        <w:rPr>
          <w:rFonts w:ascii="Consolas" w:hAnsi="Consolas"/>
          <w:color w:val="1F1F1F"/>
          <w:sz w:val="19"/>
          <w:shd w:val="clear" w:fill="F2F2F2"/>
        </w:rPr>
        <w:t>status</w:t>
      </w:r>
      <w:r>
        <w:rPr>
          <w:color w:val="0A0A0A"/>
          <w:sz w:val="21"/>
        </w:rPr>
        <w:t xml:space="preserve"> para </w:t>
      </w:r>
      <w:r>
        <w:rPr>
          <w:rFonts w:ascii="Consolas" w:hAnsi="Consolas"/>
          <w:color w:val="1F1F1F"/>
          <w:sz w:val="19"/>
          <w:shd w:val="clear" w:fill="F2F2F2"/>
        </w:rPr>
        <w:t>finalizada</w:t>
      </w:r>
      <w:r>
        <w:rPr>
          <w:color w:val="0A0A0A"/>
          <w:sz w:val="21"/>
        </w:rPr>
        <w:t>). O back-end não duplica essa fórmula.</w:t>
      </w:r>
    </w:p>
    <w:p>
      <w:pPr>
        <w:jc w:val="both"/>
      </w:pPr>
      <w:r>
        <w:rPr>
          <w:b/>
          <w:color w:val="0A0A0A"/>
          <w:sz w:val="21"/>
        </w:rPr>
        <w:t>RN-19 — Catálogo de sintomas e pesos por sexo.</w:t>
      </w:r>
      <w:r>
        <w:rPr>
          <w:color w:val="0A0A0A"/>
          <w:sz w:val="21"/>
        </w:rPr>
        <w:t xml:space="preserve"> O escore é a soma ponderada dos 12 sintomas marcados como presentes. Os pesos são calibrados separadamente para os sexos masculino e feminino, refletindo a manifestação clínica distinta da síndrome. Valores vigentes no banco: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1F1F1F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930"/>
            <w:shd w:val="clear" w:color="auto" w:fill="1F1F1F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Sintoma</w:t>
            </w:r>
          </w:p>
        </w:tc>
        <w:tc>
          <w:tcPr>
            <w:tcW w:type="dxa" w:w="1930"/>
            <w:shd w:val="clear" w:color="auto" w:fill="1F1F1F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Peso M</w:t>
            </w:r>
          </w:p>
        </w:tc>
        <w:tc>
          <w:tcPr>
            <w:tcW w:type="dxa" w:w="1930"/>
            <w:shd w:val="clear" w:color="auto" w:fill="1F1F1F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Peso F</w:t>
            </w:r>
          </w:p>
        </w:tc>
        <w:tc>
          <w:tcPr>
            <w:tcW w:type="dxa" w:w="1930"/>
            <w:shd w:val="clear" w:color="auto" w:fill="1F1F1F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Exclusivo M</w:t>
            </w:r>
          </w:p>
        </w:tc>
      </w:tr>
      <w:tr>
        <w:tc>
          <w:tcPr>
            <w:tcW w:type="dxa" w:w="1930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1</w:t>
            </w:r>
          </w:p>
        </w:tc>
        <w:tc>
          <w:tcPr>
            <w:tcW w:type="dxa" w:w="1930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Deficiência intelectual</w:t>
            </w:r>
          </w:p>
        </w:tc>
        <w:tc>
          <w:tcPr>
            <w:tcW w:type="dxa" w:w="1930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0.32</w:t>
            </w:r>
          </w:p>
        </w:tc>
        <w:tc>
          <w:tcPr>
            <w:tcW w:type="dxa" w:w="1930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0.20</w:t>
            </w:r>
          </w:p>
        </w:tc>
        <w:tc>
          <w:tcPr>
            <w:tcW w:type="dxa" w:w="1930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—</w:t>
            </w:r>
          </w:p>
        </w:tc>
      </w:tr>
      <w:tr>
        <w:tc>
          <w:tcPr>
            <w:tcW w:type="dxa" w:w="1930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2</w:t>
            </w:r>
          </w:p>
        </w:tc>
        <w:tc>
          <w:tcPr>
            <w:tcW w:type="dxa" w:w="1930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Face alongada / orelhas salientes</w:t>
            </w:r>
          </w:p>
        </w:tc>
        <w:tc>
          <w:tcPr>
            <w:tcW w:type="dxa" w:w="1930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0.29</w:t>
            </w:r>
          </w:p>
        </w:tc>
        <w:tc>
          <w:tcPr>
            <w:tcW w:type="dxa" w:w="1930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0.09</w:t>
            </w:r>
          </w:p>
        </w:tc>
        <w:tc>
          <w:tcPr>
            <w:tcW w:type="dxa" w:w="1930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—</w:t>
            </w:r>
          </w:p>
        </w:tc>
      </w:tr>
      <w:tr>
        <w:tc>
          <w:tcPr>
            <w:tcW w:type="dxa" w:w="1930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3</w:t>
            </w:r>
          </w:p>
        </w:tc>
        <w:tc>
          <w:tcPr>
            <w:tcW w:type="dxa" w:w="1930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Macroorquidismo</w:t>
            </w:r>
          </w:p>
        </w:tc>
        <w:tc>
          <w:tcPr>
            <w:tcW w:type="dxa" w:w="1930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0.26</w:t>
            </w:r>
          </w:p>
        </w:tc>
        <w:tc>
          <w:tcPr>
            <w:tcW w:type="dxa" w:w="1930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—</w:t>
            </w:r>
          </w:p>
        </w:tc>
        <w:tc>
          <w:tcPr>
            <w:tcW w:type="dxa" w:w="1930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Sim</w:t>
            </w:r>
          </w:p>
        </w:tc>
      </w:tr>
      <w:tr>
        <w:tc>
          <w:tcPr>
            <w:tcW w:type="dxa" w:w="1930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4</w:t>
            </w:r>
          </w:p>
        </w:tc>
        <w:tc>
          <w:tcPr>
            <w:tcW w:type="dxa" w:w="1930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Hipermobilidade articular</w:t>
            </w:r>
          </w:p>
        </w:tc>
        <w:tc>
          <w:tcPr>
            <w:tcW w:type="dxa" w:w="1930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0.19</w:t>
            </w:r>
          </w:p>
        </w:tc>
        <w:tc>
          <w:tcPr>
            <w:tcW w:type="dxa" w:w="1930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0.04</w:t>
            </w:r>
          </w:p>
        </w:tc>
        <w:tc>
          <w:tcPr>
            <w:tcW w:type="dxa" w:w="1930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—</w:t>
            </w:r>
          </w:p>
        </w:tc>
      </w:tr>
      <w:tr>
        <w:tc>
          <w:tcPr>
            <w:tcW w:type="dxa" w:w="1930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5</w:t>
            </w:r>
          </w:p>
        </w:tc>
        <w:tc>
          <w:tcPr>
            <w:tcW w:type="dxa" w:w="1930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Dificuldades de aprendizagem</w:t>
            </w:r>
          </w:p>
        </w:tc>
        <w:tc>
          <w:tcPr>
            <w:tcW w:type="dxa" w:w="1930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0.18</w:t>
            </w:r>
          </w:p>
        </w:tc>
        <w:tc>
          <w:tcPr>
            <w:tcW w:type="dxa" w:w="1930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0.28</w:t>
            </w:r>
          </w:p>
        </w:tc>
        <w:tc>
          <w:tcPr>
            <w:tcW w:type="dxa" w:w="1930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—</w:t>
            </w:r>
          </w:p>
        </w:tc>
      </w:tr>
      <w:tr>
        <w:tc>
          <w:tcPr>
            <w:tcW w:type="dxa" w:w="1930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6</w:t>
            </w:r>
          </w:p>
        </w:tc>
        <w:tc>
          <w:tcPr>
            <w:tcW w:type="dxa" w:w="1930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Déficit de atenção</w:t>
            </w:r>
          </w:p>
        </w:tc>
        <w:tc>
          <w:tcPr>
            <w:tcW w:type="dxa" w:w="1930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0.17</w:t>
            </w:r>
          </w:p>
        </w:tc>
        <w:tc>
          <w:tcPr>
            <w:tcW w:type="dxa" w:w="1930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0.12</w:t>
            </w:r>
          </w:p>
        </w:tc>
        <w:tc>
          <w:tcPr>
            <w:tcW w:type="dxa" w:w="1930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—</w:t>
            </w:r>
          </w:p>
        </w:tc>
      </w:tr>
      <w:tr>
        <w:tc>
          <w:tcPr>
            <w:tcW w:type="dxa" w:w="1930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7</w:t>
            </w:r>
          </w:p>
        </w:tc>
        <w:tc>
          <w:tcPr>
            <w:tcW w:type="dxa" w:w="1930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Movimentos repetitivos (estereotipias)</w:t>
            </w:r>
          </w:p>
        </w:tc>
        <w:tc>
          <w:tcPr>
            <w:tcW w:type="dxa" w:w="1930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0.17</w:t>
            </w:r>
          </w:p>
        </w:tc>
        <w:tc>
          <w:tcPr>
            <w:tcW w:type="dxa" w:w="1930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0.05</w:t>
            </w:r>
          </w:p>
        </w:tc>
        <w:tc>
          <w:tcPr>
            <w:tcW w:type="dxa" w:w="1930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—</w:t>
            </w:r>
          </w:p>
        </w:tc>
      </w:tr>
      <w:tr>
        <w:tc>
          <w:tcPr>
            <w:tcW w:type="dxa" w:w="1930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8</w:t>
            </w:r>
          </w:p>
        </w:tc>
        <w:tc>
          <w:tcPr>
            <w:tcW w:type="dxa" w:w="1930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Atraso na fala</w:t>
            </w:r>
          </w:p>
        </w:tc>
        <w:tc>
          <w:tcPr>
            <w:tcW w:type="dxa" w:w="1930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0.14</w:t>
            </w:r>
          </w:p>
        </w:tc>
        <w:tc>
          <w:tcPr>
            <w:tcW w:type="dxa" w:w="1930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0.01</w:t>
            </w:r>
          </w:p>
        </w:tc>
        <w:tc>
          <w:tcPr>
            <w:tcW w:type="dxa" w:w="1930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—</w:t>
            </w:r>
          </w:p>
        </w:tc>
      </w:tr>
      <w:tr>
        <w:tc>
          <w:tcPr>
            <w:tcW w:type="dxa" w:w="1930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9</w:t>
            </w:r>
          </w:p>
        </w:tc>
        <w:tc>
          <w:tcPr>
            <w:tcW w:type="dxa" w:w="1930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Hiperatividade</w:t>
            </w:r>
          </w:p>
        </w:tc>
        <w:tc>
          <w:tcPr>
            <w:tcW w:type="dxa" w:w="1930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0.12</w:t>
            </w:r>
          </w:p>
        </w:tc>
        <w:tc>
          <w:tcPr>
            <w:tcW w:type="dxa" w:w="1930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0.04</w:t>
            </w:r>
          </w:p>
        </w:tc>
        <w:tc>
          <w:tcPr>
            <w:tcW w:type="dxa" w:w="1930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—</w:t>
            </w:r>
          </w:p>
        </w:tc>
      </w:tr>
      <w:tr>
        <w:tc>
          <w:tcPr>
            <w:tcW w:type="dxa" w:w="1930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10</w:t>
            </w:r>
          </w:p>
        </w:tc>
        <w:tc>
          <w:tcPr>
            <w:tcW w:type="dxa" w:w="1930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Evita contato visual</w:t>
            </w:r>
          </w:p>
        </w:tc>
        <w:tc>
          <w:tcPr>
            <w:tcW w:type="dxa" w:w="1930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0.06</w:t>
            </w:r>
          </w:p>
        </w:tc>
        <w:tc>
          <w:tcPr>
            <w:tcW w:type="dxa" w:w="1930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0.08</w:t>
            </w:r>
          </w:p>
        </w:tc>
        <w:tc>
          <w:tcPr>
            <w:tcW w:type="dxa" w:w="1930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—</w:t>
            </w:r>
          </w:p>
        </w:tc>
      </w:tr>
      <w:tr>
        <w:tc>
          <w:tcPr>
            <w:tcW w:type="dxa" w:w="1930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11</w:t>
            </w:r>
          </w:p>
        </w:tc>
        <w:tc>
          <w:tcPr>
            <w:tcW w:type="dxa" w:w="1930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Evita contato físico</w:t>
            </w:r>
          </w:p>
        </w:tc>
        <w:tc>
          <w:tcPr>
            <w:tcW w:type="dxa" w:w="1930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0.04</w:t>
            </w:r>
          </w:p>
        </w:tc>
        <w:tc>
          <w:tcPr>
            <w:tcW w:type="dxa" w:w="1930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0.07</w:t>
            </w:r>
          </w:p>
        </w:tc>
        <w:tc>
          <w:tcPr>
            <w:tcW w:type="dxa" w:w="1930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—</w:t>
            </w:r>
          </w:p>
        </w:tc>
      </w:tr>
      <w:tr>
        <w:tc>
          <w:tcPr>
            <w:tcW w:type="dxa" w:w="1930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12</w:t>
            </w:r>
          </w:p>
        </w:tc>
        <w:tc>
          <w:tcPr>
            <w:tcW w:type="dxa" w:w="1930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Agressividade</w:t>
            </w:r>
          </w:p>
        </w:tc>
        <w:tc>
          <w:tcPr>
            <w:tcW w:type="dxa" w:w="1930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0.01</w:t>
            </w:r>
          </w:p>
        </w:tc>
        <w:tc>
          <w:tcPr>
            <w:tcW w:type="dxa" w:w="1930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0.02</w:t>
            </w:r>
          </w:p>
        </w:tc>
        <w:tc>
          <w:tcPr>
            <w:tcW w:type="dxa" w:w="1930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—</w:t>
            </w:r>
          </w:p>
        </w:tc>
      </w:tr>
    </w:tbl>
    <w:p>
      <w:pPr>
        <w:jc w:val="both"/>
      </w:pPr>
      <w:r>
        <w:rPr>
          <w:color w:val="0A0A0A"/>
          <w:sz w:val="21"/>
        </w:rPr>
        <w:t>O macroorquidismo, por ser exclusivamente masculino, não possui peso feminino. Note que alguns sintomas pesam mais no sexo feminino (por exemplo, "dificuldades de aprendizagem": 0.28 em F contra 0.18 em M).</w:t>
      </w:r>
    </w:p>
    <w:p>
      <w:pPr>
        <w:jc w:val="both"/>
      </w:pPr>
      <w:r>
        <w:rPr>
          <w:b/>
          <w:color w:val="0A0A0A"/>
          <w:sz w:val="21"/>
        </w:rPr>
        <w:t>RN-20 — Limiares de decisão por sexo.</w:t>
      </w:r>
      <w:r>
        <w:rPr>
          <w:color w:val="0A0A0A"/>
          <w:sz w:val="21"/>
        </w:rPr>
        <w:t xml:space="preserve"> A recomendação de exame é determinada pela comparação do escore com um limiar específico do sexo, vindo da tabela </w:t>
      </w:r>
      <w:r>
        <w:rPr>
          <w:rFonts w:ascii="Consolas" w:hAnsi="Consolas"/>
          <w:color w:val="1F1F1F"/>
          <w:sz w:val="19"/>
          <w:shd w:val="clear" w:fill="F2F2F2"/>
        </w:rPr>
        <w:t>parametro_triagem</w:t>
      </w:r>
      <w:r>
        <w:rPr>
          <w:color w:val="0A0A0A"/>
          <w:sz w:val="21"/>
        </w:rPr>
        <w:t xml:space="preserve"> (linha ativa):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1F1F1F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Sexo</w:t>
            </w:r>
          </w:p>
        </w:tc>
        <w:tc>
          <w:tcPr>
            <w:tcW w:type="dxa" w:w="1930"/>
            <w:shd w:val="clear" w:color="auto" w:fill="1F1F1F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Limiar (</w:t>
            </w:r>
            <w:r>
              <w:rPr>
                <w:rFonts w:ascii="Consolas" w:hAnsi="Consolas"/>
                <w:b/>
                <w:color w:val="1F1F1F"/>
                <w:sz w:val="17"/>
                <w:shd w:val="clear" w:fill="F2F2F2"/>
              </w:rPr>
              <w:t>limiar_score</w:t>
            </w:r>
            <w:r>
              <w:rPr>
                <w:b/>
                <w:color w:val="FFFFFF"/>
                <w:sz w:val="19"/>
              </w:rPr>
              <w:t>)</w:t>
            </w:r>
          </w:p>
        </w:tc>
        <w:tc>
          <w:tcPr>
            <w:tcW w:type="dxa" w:w="1930"/>
            <w:shd w:val="clear" w:color="auto" w:fill="1F1F1F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AUC</w:t>
            </w:r>
          </w:p>
        </w:tc>
        <w:tc>
          <w:tcPr>
            <w:tcW w:type="dxa" w:w="1930"/>
            <w:shd w:val="clear" w:color="auto" w:fill="1F1F1F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Sensibilidade</w:t>
            </w:r>
          </w:p>
        </w:tc>
        <w:tc>
          <w:tcPr>
            <w:tcW w:type="dxa" w:w="1930"/>
            <w:shd w:val="clear" w:color="auto" w:fill="1F1F1F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Versão do parâmetro</w:t>
            </w:r>
          </w:p>
        </w:tc>
      </w:tr>
      <w:tr>
        <w:tc>
          <w:tcPr>
            <w:tcW w:type="dxa" w:w="1930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M</w:t>
            </w:r>
          </w:p>
        </w:tc>
        <w:tc>
          <w:tcPr>
            <w:tcW w:type="dxa" w:w="1930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0.56</w:t>
            </w:r>
          </w:p>
        </w:tc>
        <w:tc>
          <w:tcPr>
            <w:tcW w:type="dxa" w:w="1930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0.73</w:t>
            </w:r>
          </w:p>
        </w:tc>
        <w:tc>
          <w:tcPr>
            <w:tcW w:type="dxa" w:w="1930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95%</w:t>
            </w:r>
          </w:p>
        </w:tc>
        <w:tc>
          <w:tcPr>
            <w:tcW w:type="dxa" w:w="1930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ROMERO_2025_v1_M</w:t>
            </w:r>
          </w:p>
        </w:tc>
      </w:tr>
      <w:tr>
        <w:tc>
          <w:tcPr>
            <w:tcW w:type="dxa" w:w="1930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F</w:t>
            </w:r>
          </w:p>
        </w:tc>
        <w:tc>
          <w:tcPr>
            <w:tcW w:type="dxa" w:w="1930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0.55</w:t>
            </w:r>
          </w:p>
        </w:tc>
        <w:tc>
          <w:tcPr>
            <w:tcW w:type="dxa" w:w="1930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0.76</w:t>
            </w:r>
          </w:p>
        </w:tc>
        <w:tc>
          <w:tcPr>
            <w:tcW w:type="dxa" w:w="1930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95%</w:t>
            </w:r>
          </w:p>
        </w:tc>
        <w:tc>
          <w:tcPr>
            <w:tcW w:type="dxa" w:w="1930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ROMERO_2025_v1_F</w:t>
            </w:r>
          </w:p>
        </w:tc>
      </w:tr>
    </w:tbl>
    <w:p>
      <w:pPr>
        <w:jc w:val="both"/>
      </w:pPr>
      <w:r>
        <w:rPr>
          <w:b/>
          <w:color w:val="0A0A0A"/>
          <w:sz w:val="21"/>
        </w:rPr>
        <w:t>RN-21 — Regra de decisão de `recomenda_exame`.</w:t>
      </w:r>
      <w:r>
        <w:rPr>
          <w:color w:val="0A0A0A"/>
          <w:sz w:val="21"/>
        </w:rPr>
        <w:t xml:space="preserve"> Calculada pela view </w:t>
      </w:r>
      <w:r>
        <w:rPr>
          <w:rFonts w:ascii="Consolas" w:hAnsi="Consolas"/>
          <w:color w:val="1F1F1F"/>
          <w:sz w:val="19"/>
          <w:shd w:val="clear" w:fill="F2F2F2"/>
        </w:rPr>
        <w:t>avaliacoes</w:t>
      </w:r>
      <w:r>
        <w:rPr>
          <w:color w:val="0A0A0A"/>
          <w:sz w:val="21"/>
        </w:rPr>
        <w:t xml:space="preserve"> e replicada conceitualmente na função de escore:</w:t>
      </w:r>
    </w:p>
    <w:p>
      <w:pPr>
        <w:spacing w:before="80" w:after="160"/>
        <w:ind w:left="144"/>
        <w:shd w:val="clear" w:fill="F2F2F2"/>
        <w:pBdr>
          <w:top w:val="single" w:sz="4" w:space="6" w:color="DDDDDD"/>
          <w:bottom w:val="single" w:sz="4" w:space="6" w:color="DDDDDD"/>
          <w:left w:val="single" w:sz="4" w:space="6" w:color="DDDDDD"/>
          <w:right w:val="single" w:sz="4" w:space="6" w:color="DDDDDD"/>
        </w:pBdr>
      </w:pPr>
      <w:r>
        <w:rPr>
          <w:rFonts w:ascii="Consolas" w:hAnsi="Consolas"/>
          <w:color w:val="222222"/>
          <w:sz w:val="18"/>
        </w:rPr>
        <w:t>recomenda_exame =</w:t>
        <w:br/>
        <w:t xml:space="preserve">    NULL                          se score_final ainda e NULL (avaliacao nao finalizada)</w:t>
        <w:br/>
        <w:t xml:space="preserve">    false                         se diagnostico_previo_fxs = true</w:t>
        <w:br/>
        <w:t xml:space="preserve">    score_final &gt;= limiar(sexo)   caso contrario  (M: 0.56 · F: 0.55)</w:t>
      </w:r>
    </w:p>
    <w:p>
      <w:pPr>
        <w:jc w:val="both"/>
      </w:pPr>
      <w:r>
        <w:rPr>
          <w:b/>
          <w:color w:val="0A0A0A"/>
          <w:sz w:val="21"/>
        </w:rPr>
        <w:t>RN-22 — Diagnóstico prévio suprime a recomendação, não o escore.</w:t>
      </w:r>
      <w:r>
        <w:rPr>
          <w:color w:val="0A0A0A"/>
          <w:sz w:val="21"/>
        </w:rPr>
        <w:t xml:space="preserve"> Se </w:t>
      </w:r>
      <w:r>
        <w:rPr>
          <w:rFonts w:ascii="Consolas" w:hAnsi="Consolas"/>
          <w:color w:val="1F1F1F"/>
          <w:sz w:val="19"/>
          <w:shd w:val="clear" w:fill="F2F2F2"/>
        </w:rPr>
        <w:t>diagnostico_previo_fxs</w:t>
      </w:r>
      <w:r>
        <w:rPr>
          <w:color w:val="0A0A0A"/>
          <w:sz w:val="21"/>
        </w:rPr>
        <w:t xml:space="preserve"> for verdadeiro, o escore ainda é calculado e registrado (para auditoria do modelo), mas </w:t>
      </w:r>
      <w:r>
        <w:rPr>
          <w:rFonts w:ascii="Consolas" w:hAnsi="Consolas"/>
          <w:color w:val="1F1F1F"/>
          <w:sz w:val="19"/>
          <w:shd w:val="clear" w:fill="F2F2F2"/>
        </w:rPr>
        <w:t>recomenda_exame</w:t>
      </w:r>
      <w:r>
        <w:rPr>
          <w:color w:val="0A0A0A"/>
          <w:sz w:val="21"/>
        </w:rPr>
        <w:t xml:space="preserve"> é forçado a </w:t>
      </w:r>
      <w:r>
        <w:rPr>
          <w:rFonts w:ascii="Consolas" w:hAnsi="Consolas"/>
          <w:color w:val="1F1F1F"/>
          <w:sz w:val="19"/>
          <w:shd w:val="clear" w:fill="F2F2F2"/>
        </w:rPr>
        <w:t>false</w:t>
      </w:r>
      <w:r>
        <w:rPr>
          <w:color w:val="0A0A0A"/>
          <w:sz w:val="21"/>
        </w:rPr>
        <w:t xml:space="preserve"> e, por consequência, nenhum encaminhamento automático é criado.</w:t>
      </w:r>
    </w:p>
    <w:p>
      <w:pPr>
        <w:jc w:val="both"/>
      </w:pPr>
      <w:r>
        <w:rPr>
          <w:b/>
          <w:color w:val="0A0A0A"/>
          <w:sz w:val="21"/>
        </w:rPr>
        <w:t>RN-23 — Encaminhamento automático ao exame FMR1.</w:t>
      </w:r>
      <w:r>
        <w:rPr>
          <w:color w:val="0A0A0A"/>
          <w:sz w:val="21"/>
        </w:rPr>
        <w:t xml:space="preserve"> Quando, e somente quando, </w:t>
      </w:r>
      <w:r>
        <w:rPr>
          <w:rFonts w:ascii="Consolas" w:hAnsi="Consolas"/>
          <w:color w:val="1F1F1F"/>
          <w:sz w:val="19"/>
          <w:shd w:val="clear" w:fill="F2F2F2"/>
        </w:rPr>
        <w:t>recomenda_exame</w:t>
      </w:r>
      <w:r>
        <w:rPr>
          <w:color w:val="0A0A0A"/>
          <w:sz w:val="21"/>
        </w:rPr>
        <w:t xml:space="preserve"> é verdadeiro, o sistema cria automaticamente um encaminhamento do tipo </w:t>
      </w:r>
      <w:r>
        <w:rPr>
          <w:rFonts w:ascii="Consolas" w:hAnsi="Consolas"/>
          <w:color w:val="1F1F1F"/>
          <w:sz w:val="19"/>
          <w:shd w:val="clear" w:fill="F2F2F2"/>
        </w:rPr>
        <w:t>exame_fmr1</w:t>
      </w:r>
      <w:r>
        <w:rPr>
          <w:color w:val="0A0A0A"/>
          <w:sz w:val="21"/>
        </w:rPr>
        <w:t xml:space="preserve"> em </w:t>
      </w:r>
      <w:r>
        <w:rPr>
          <w:rFonts w:ascii="Consolas" w:hAnsi="Consolas"/>
          <w:color w:val="1F1F1F"/>
          <w:sz w:val="19"/>
          <w:shd w:val="clear" w:fill="F2F2F2"/>
        </w:rPr>
        <w:t>tb_encaminhamentos</w:t>
      </w:r>
      <w:r>
        <w:rPr>
          <w:color w:val="0A0A0A"/>
          <w:sz w:val="21"/>
        </w:rPr>
        <w:t xml:space="preserve">, com </w:t>
      </w:r>
      <w:r>
        <w:rPr>
          <w:rFonts w:ascii="Consolas" w:hAnsi="Consolas"/>
          <w:color w:val="1F1F1F"/>
          <w:sz w:val="19"/>
          <w:shd w:val="clear" w:fill="F2F2F2"/>
        </w:rPr>
        <w:t>gerado_automaticamente = TRUE</w:t>
      </w:r>
      <w:r>
        <w:rPr>
          <w:color w:val="0A0A0A"/>
          <w:sz w:val="21"/>
        </w:rPr>
        <w:t xml:space="preserve"> e a justificativa "Score de triagem igual ou acima do limiar para o sexo do paciente.".</w:t>
      </w:r>
    </w:p>
    <w:p>
      <w:pPr>
        <w:jc w:val="both"/>
      </w:pPr>
      <w:r>
        <w:rPr>
          <w:b/>
          <w:color w:val="0A0A0A"/>
          <w:sz w:val="21"/>
        </w:rPr>
        <w:t>RN-24 — Histórico familiar coletado uma vez por avaliação.</w:t>
      </w:r>
      <w:r>
        <w:rPr>
          <w:color w:val="0A0A0A"/>
          <w:sz w:val="21"/>
        </w:rPr>
        <w:t xml:space="preserve"> O histórico familiar é registrado uma única vez por avaliação (restrição UNIQUE em </w:t>
      </w:r>
      <w:r>
        <w:rPr>
          <w:rFonts w:ascii="Consolas" w:hAnsi="Consolas"/>
          <w:color w:val="1F1F1F"/>
          <w:sz w:val="19"/>
          <w:shd w:val="clear" w:fill="F2F2F2"/>
        </w:rPr>
        <w:t>tb_historico_familiar.avaliacao_id</w:t>
      </w:r>
      <w:r>
        <w:rPr>
          <w:color w:val="0A0A0A"/>
          <w:sz w:val="21"/>
        </w:rPr>
        <w:t xml:space="preserve">). São oito achados hereditários booleanos — deficiência intelectual, falência ovariana precoce, autismo na família, epilepsia, infertilidade masculina, menopausa precoce, abortos recorrentes e tremor/ataxia familiar — mais um campo livre </w:t>
      </w:r>
      <w:r>
        <w:rPr>
          <w:rFonts w:ascii="Consolas" w:hAnsi="Consolas"/>
          <w:color w:val="1F1F1F"/>
          <w:sz w:val="19"/>
          <w:shd w:val="clear" w:fill="F2F2F2"/>
        </w:rPr>
        <w:t>descricao_outros</w:t>
      </w:r>
      <w:r>
        <w:rPr>
          <w:color w:val="0A0A0A"/>
          <w:sz w:val="21"/>
        </w:rPr>
        <w:t xml:space="preserve"> (máx. 500 caracteres). Esses achados refletem condições do espectro FMR1 em familiares.</w:t>
      </w:r>
    </w:p>
    <w:p>
      <w:pPr>
        <w:jc w:val="both"/>
      </w:pPr>
      <w:r>
        <w:rPr>
          <w:b/>
          <w:color w:val="0A0A0A"/>
          <w:sz w:val="21"/>
        </w:rPr>
        <w:t>RN-25 — Hierarquia de criticidade das etapas.</w:t>
      </w:r>
      <w:r>
        <w:rPr>
          <w:color w:val="0A0A0A"/>
          <w:sz w:val="21"/>
        </w:rPr>
        <w:t xml:space="preserve"> As etapas de persistência do histórico familiar e de criação do encaminhamento são </w:t>
      </w:r>
      <w:r>
        <w:rPr>
          <w:b/>
          <w:color w:val="0A0A0A"/>
          <w:sz w:val="21"/>
        </w:rPr>
        <w:t>fatais</w:t>
      </w:r>
      <w:r>
        <w:rPr>
          <w:color w:val="0A0A0A"/>
          <w:sz w:val="21"/>
        </w:rPr>
        <w:t xml:space="preserve">: se falharem, a transação é desfeita. Já o registro de auditoria é </w:t>
      </w:r>
      <w:r>
        <w:rPr>
          <w:b/>
          <w:color w:val="0A0A0A"/>
          <w:sz w:val="21"/>
        </w:rPr>
        <w:t>best-effort</w:t>
      </w:r>
      <w:r>
        <w:rPr>
          <w:color w:val="0A0A0A"/>
          <w:sz w:val="21"/>
        </w:rPr>
        <w:t>: roda dentro de um SAVEPOINT com tratamento de exceção que absorve a falha, de modo que a indisponibilidade da função de auditoria não interrompe o fluxo clínico.</w:t>
      </w:r>
    </w:p>
    <w:p>
      <w:pPr>
        <w:jc w:val="both"/>
      </w:pPr>
      <w:r>
        <w:rPr>
          <w:b/>
          <w:color w:val="0A0A0A"/>
          <w:sz w:val="21"/>
        </w:rPr>
        <w:t>RN-26 — Prévia de escore no cliente é apenas indicativa.</w:t>
      </w:r>
      <w:r>
        <w:rPr>
          <w:color w:val="0A0A0A"/>
          <w:sz w:val="21"/>
        </w:rPr>
        <w:t xml:space="preserve"> A tela de Triagem calcula um escore de prévia localmente (com os mesmos pesos e limiares) para antecipar o resultado ao médico antes do envio. O valor oficial, contudo, é sempre o devolvido pelo back-end. A prévia não substitui o cálculo do banco.</w:t>
      </w:r>
    </w:p>
    <w:p>
      <w:pPr>
        <w:jc w:val="both"/>
      </w:pPr>
      <w:r>
        <w:rPr>
          <w:b/>
          <w:color w:val="0A0A0A"/>
          <w:sz w:val="21"/>
        </w:rPr>
        <w:t>RN-27 — Erro de banco no fluxo clínico vira HTTP 502.</w:t>
      </w:r>
      <w:r>
        <w:rPr>
          <w:color w:val="0A0A0A"/>
          <w:sz w:val="21"/>
        </w:rPr>
        <w:t xml:space="preserve"> Se qualquer etapa do fluxo de submissão lançar </w:t>
      </w:r>
      <w:r>
        <w:rPr>
          <w:rFonts w:ascii="Consolas" w:hAnsi="Consolas"/>
          <w:color w:val="1F1F1F"/>
          <w:sz w:val="19"/>
          <w:shd w:val="clear" w:fill="F2F2F2"/>
        </w:rPr>
        <w:t>RuntimeError</w:t>
      </w:r>
      <w:r>
        <w:rPr>
          <w:color w:val="0A0A0A"/>
          <w:sz w:val="21"/>
        </w:rPr>
        <w:t xml:space="preserve"> ou </w:t>
      </w:r>
      <w:r>
        <w:rPr>
          <w:rFonts w:ascii="Consolas" w:hAnsi="Consolas"/>
          <w:color w:val="1F1F1F"/>
          <w:sz w:val="19"/>
          <w:shd w:val="clear" w:fill="F2F2F2"/>
        </w:rPr>
        <w:t>ValueError</w:t>
      </w:r>
      <w:r>
        <w:rPr>
          <w:color w:val="0A0A0A"/>
          <w:sz w:val="21"/>
        </w:rPr>
        <w:t xml:space="preserve"> (por exemplo, um </w:t>
      </w:r>
      <w:r>
        <w:rPr>
          <w:rFonts w:ascii="Consolas" w:hAnsi="Consolas"/>
          <w:color w:val="1F1F1F"/>
          <w:sz w:val="19"/>
          <w:shd w:val="clear" w:fill="F2F2F2"/>
        </w:rPr>
        <w:t>RETURNING</w:t>
      </w:r>
      <w:r>
        <w:rPr>
          <w:color w:val="0A0A0A"/>
          <w:sz w:val="21"/>
        </w:rPr>
        <w:t xml:space="preserve"> vazio), o router converte o erro em HTTP 502 (Bad Gateway), com a mensagem de erro de banco.</w:t>
      </w:r>
    </w:p>
    <w:p>
      <w:pPr>
        <w:keepNext/>
        <w:spacing w:before="320" w:after="120"/>
        <w:pBdr>
          <w:bottom w:val="single" w:sz="6" w:space="4" w:color="1F1F1F"/>
        </w:pBdr>
      </w:pPr>
      <w:r>
        <w:rPr>
          <w:b/>
          <w:color w:val="0A0A0A"/>
          <w:sz w:val="44"/>
        </w:rPr>
        <w:t>5. Histórico, dashboard e relatórios</w:t>
      </w:r>
    </w:p>
    <w:p>
      <w:pPr>
        <w:jc w:val="both"/>
      </w:pPr>
      <w:r>
        <w:rPr>
          <w:b/>
          <w:color w:val="0A0A0A"/>
          <w:sz w:val="21"/>
        </w:rPr>
        <w:t>RN-28 — Histórico de avaliações do paciente.</w:t>
      </w:r>
      <w:r>
        <w:rPr>
          <w:color w:val="0A0A0A"/>
          <w:sz w:val="21"/>
        </w:rPr>
        <w:t xml:space="preserve"> </w:t>
      </w:r>
      <w:r>
        <w:rPr>
          <w:rFonts w:ascii="Consolas" w:hAnsi="Consolas"/>
          <w:color w:val="1F1F1F"/>
          <w:sz w:val="19"/>
          <w:shd w:val="clear" w:fill="F2F2F2"/>
        </w:rPr>
        <w:t>GET /pacientes/{id}/historico</w:t>
      </w:r>
      <w:r>
        <w:rPr>
          <w:color w:val="0A0A0A"/>
          <w:sz w:val="21"/>
        </w:rPr>
        <w:t xml:space="preserve"> lista as avaliações de um paciente, com RBAC aplicado no JOIN (</w:t>
      </w:r>
      <w:r>
        <w:rPr>
          <w:rFonts w:ascii="Consolas" w:hAnsi="Consolas"/>
          <w:color w:val="1F1F1F"/>
          <w:sz w:val="19"/>
          <w:shd w:val="clear" w:fill="F2F2F2"/>
        </w:rPr>
        <w:t>WHERE a.paciente_id = :id AND p.criado_por = :usuario_id</w:t>
      </w:r>
      <w:r>
        <w:rPr>
          <w:color w:val="0A0A0A"/>
          <w:sz w:val="21"/>
        </w:rPr>
        <w:t>). Uma lista vazia é resultado legítimo (paciente sem avaliações), não um erro.</w:t>
      </w:r>
    </w:p>
    <w:p>
      <w:pPr>
        <w:jc w:val="both"/>
      </w:pPr>
      <w:r>
        <w:rPr>
          <w:b/>
          <w:color w:val="0A0A0A"/>
          <w:sz w:val="21"/>
        </w:rPr>
        <w:t>RN-29 — Resumo operacional do médico (sem anonimização).</w:t>
      </w:r>
      <w:r>
        <w:rPr>
          <w:color w:val="0A0A0A"/>
          <w:sz w:val="21"/>
        </w:rPr>
        <w:t xml:space="preserve"> </w:t>
      </w:r>
      <w:r>
        <w:rPr>
          <w:rFonts w:ascii="Consolas" w:hAnsi="Consolas"/>
          <w:color w:val="1F1F1F"/>
          <w:sz w:val="19"/>
          <w:shd w:val="clear" w:fill="F2F2F2"/>
        </w:rPr>
        <w:t>GET /dashboard/summary</w:t>
      </w:r>
      <w:r>
        <w:rPr>
          <w:color w:val="0A0A0A"/>
          <w:sz w:val="21"/>
        </w:rPr>
        <w:t xml:space="preserve"> retorna números exclusivos do médico autenticado: total de pacientes, avaliações de hoje, avaliações dos últimos 7 dias e a taxa de recomendação de exame (proporção de avaliações com </w:t>
      </w:r>
      <w:r>
        <w:rPr>
          <w:rFonts w:ascii="Consolas" w:hAnsi="Consolas"/>
          <w:color w:val="1F1F1F"/>
          <w:sz w:val="19"/>
          <w:shd w:val="clear" w:fill="F2F2F2"/>
        </w:rPr>
        <w:t>recomenda_exame = TRUE</w:t>
      </w:r>
      <w:r>
        <w:rPr>
          <w:color w:val="0A0A0A"/>
          <w:sz w:val="21"/>
        </w:rPr>
        <w:t>, arredondada a 4 casas). Não há guarda de k-anonimato aqui, pois não há agregação entre pacientes de médicos diferentes.</w:t>
      </w:r>
    </w:p>
    <w:p>
      <w:pPr>
        <w:jc w:val="both"/>
      </w:pPr>
      <w:r>
        <w:rPr>
          <w:b/>
          <w:color w:val="0A0A0A"/>
          <w:sz w:val="21"/>
        </w:rPr>
        <w:t>RN-30 — Estatísticas agregadas com guarda de k-anonimato (LGPD).</w:t>
      </w:r>
      <w:r>
        <w:rPr>
          <w:color w:val="0A0A0A"/>
          <w:sz w:val="21"/>
        </w:rPr>
        <w:t xml:space="preserve"> </w:t>
      </w:r>
      <w:r>
        <w:rPr>
          <w:rFonts w:ascii="Consolas" w:hAnsi="Consolas"/>
          <w:color w:val="1F1F1F"/>
          <w:sz w:val="19"/>
          <w:shd w:val="clear" w:fill="F2F2F2"/>
        </w:rPr>
        <w:t>GET /dashboard/stats</w:t>
      </w:r>
      <w:r>
        <w:rPr>
          <w:color w:val="0A0A0A"/>
          <w:sz w:val="21"/>
        </w:rPr>
        <w:t xml:space="preserve"> lê a view materializada anonimizada (</w:t>
      </w:r>
      <w:r>
        <w:rPr>
          <w:rFonts w:ascii="Consolas" w:hAnsi="Consolas"/>
          <w:color w:val="1F1F1F"/>
          <w:sz w:val="19"/>
          <w:shd w:val="clear" w:fill="F2F2F2"/>
        </w:rPr>
        <w:t>vw_dashboard_anonimizado</w:t>
      </w:r>
      <w:r>
        <w:rPr>
          <w:color w:val="0A0A0A"/>
          <w:sz w:val="21"/>
        </w:rPr>
        <w:t xml:space="preserve">, sem dado pessoal) e aplica k-anonimato no nível de aplicação: se </w:t>
      </w:r>
      <w:r>
        <w:rPr>
          <w:b/>
          <w:color w:val="0A0A0A"/>
          <w:sz w:val="21"/>
        </w:rPr>
        <w:t>qualquer</w:t>
      </w:r>
      <w:r>
        <w:rPr>
          <w:color w:val="0A0A0A"/>
          <w:sz w:val="21"/>
        </w:rPr>
        <w:t xml:space="preserve"> grupo agregado retornado tiver menos de 5 avaliações (</w:t>
      </w:r>
      <w:r>
        <w:rPr>
          <w:rFonts w:ascii="Consolas" w:hAnsi="Consolas"/>
          <w:color w:val="1F1F1F"/>
          <w:sz w:val="19"/>
          <w:shd w:val="clear" w:fill="F2F2F2"/>
        </w:rPr>
        <w:t>K_ANONYMITY_THRESHOLD = 5</w:t>
      </w:r>
      <w:r>
        <w:rPr>
          <w:color w:val="0A0A0A"/>
          <w:sz w:val="21"/>
        </w:rPr>
        <w:t xml:space="preserve">), a resposta </w:t>
      </w:r>
      <w:r>
        <w:rPr>
          <w:b/>
          <w:color w:val="0A0A0A"/>
          <w:sz w:val="21"/>
        </w:rPr>
        <w:t>inteira</w:t>
      </w:r>
      <w:r>
        <w:rPr>
          <w:color w:val="0A0A0A"/>
          <w:sz w:val="21"/>
        </w:rPr>
        <w:t xml:space="preserve"> é suprimida com </w:t>
      </w:r>
      <w:r>
        <w:rPr>
          <w:rFonts w:ascii="Consolas" w:hAnsi="Consolas"/>
          <w:color w:val="1F1F1F"/>
          <w:sz w:val="19"/>
          <w:shd w:val="clear" w:fill="F2F2F2"/>
        </w:rPr>
        <w:t>LGPDComplianceError</w:t>
      </w:r>
      <w:r>
        <w:rPr>
          <w:color w:val="0A0A0A"/>
          <w:sz w:val="21"/>
        </w:rPr>
        <w:t xml:space="preserve"> (HTTP 422). A medida impede a reidentificação de indivíduos em grupos pequenos (LGPD, Art. 12).</w:t>
      </w:r>
    </w:p>
    <w:p>
      <w:pPr>
        <w:jc w:val="both"/>
      </w:pPr>
      <w:r>
        <w:rPr>
          <w:b/>
          <w:color w:val="0A0A0A"/>
          <w:sz w:val="21"/>
        </w:rPr>
        <w:t>RN-31 — Atualização da view materializada restrita a admin.</w:t>
      </w:r>
      <w:r>
        <w:rPr>
          <w:color w:val="0A0A0A"/>
          <w:sz w:val="21"/>
        </w:rPr>
        <w:t xml:space="preserve"> </w:t>
      </w:r>
      <w:r>
        <w:rPr>
          <w:rFonts w:ascii="Consolas" w:hAnsi="Consolas"/>
          <w:color w:val="1F1F1F"/>
          <w:sz w:val="19"/>
          <w:shd w:val="clear" w:fill="F2F2F2"/>
        </w:rPr>
        <w:t>POST /dashboard/refresh</w:t>
      </w:r>
      <w:r>
        <w:rPr>
          <w:color w:val="0A0A0A"/>
          <w:sz w:val="21"/>
        </w:rPr>
        <w:t xml:space="preserve"> executa </w:t>
      </w:r>
      <w:r>
        <w:rPr>
          <w:rFonts w:ascii="Consolas" w:hAnsi="Consolas"/>
          <w:color w:val="1F1F1F"/>
          <w:sz w:val="19"/>
          <w:shd w:val="clear" w:fill="F2F2F2"/>
        </w:rPr>
        <w:t>REFRESH MATERIALIZED VIEW CONCURRENTLY</w:t>
      </w:r>
      <w:r>
        <w:rPr>
          <w:color w:val="0A0A0A"/>
          <w:sz w:val="21"/>
        </w:rPr>
        <w:t xml:space="preserve"> e é permitido apenas a usuários com papel </w:t>
      </w:r>
      <w:r>
        <w:rPr>
          <w:rFonts w:ascii="Consolas" w:hAnsi="Consolas"/>
          <w:color w:val="1F1F1F"/>
          <w:sz w:val="19"/>
          <w:shd w:val="clear" w:fill="F2F2F2"/>
        </w:rPr>
        <w:t>admin</w:t>
      </w:r>
      <w:r>
        <w:rPr>
          <w:color w:val="0A0A0A"/>
          <w:sz w:val="21"/>
        </w:rPr>
        <w:t xml:space="preserve"> (HTTP 403 caso contrário).</w:t>
      </w:r>
    </w:p>
    <w:p>
      <w:pPr>
        <w:jc w:val="both"/>
      </w:pPr>
      <w:r>
        <w:rPr>
          <w:b/>
          <w:color w:val="0A0A0A"/>
          <w:sz w:val="21"/>
        </w:rPr>
        <w:t>RN-32 — Relatórios não dependem de `recomenda_exame`.</w:t>
      </w:r>
      <w:r>
        <w:rPr>
          <w:color w:val="0A0A0A"/>
          <w:sz w:val="21"/>
        </w:rPr>
        <w:t xml:space="preserve"> </w:t>
      </w:r>
      <w:r>
        <w:rPr>
          <w:rFonts w:ascii="Consolas" w:hAnsi="Consolas"/>
          <w:color w:val="1F1F1F"/>
          <w:sz w:val="19"/>
          <w:shd w:val="clear" w:fill="F2F2F2"/>
        </w:rPr>
        <w:t>GET /relatorios/avaliacoes</w:t>
      </w:r>
      <w:r>
        <w:rPr>
          <w:color w:val="0A0A0A"/>
          <w:sz w:val="21"/>
        </w:rPr>
        <w:t xml:space="preserve"> devolve as avaliações finalizadas do médico com </w:t>
      </w:r>
      <w:r>
        <w:rPr>
          <w:rFonts w:ascii="Consolas" w:hAnsi="Consolas"/>
          <w:color w:val="1F1F1F"/>
          <w:sz w:val="19"/>
          <w:shd w:val="clear" w:fill="F2F2F2"/>
        </w:rPr>
        <w:t>data_avaliacao</w:t>
      </w:r>
      <w:r>
        <w:rPr>
          <w:color w:val="0A0A0A"/>
          <w:sz w:val="21"/>
        </w:rPr>
        <w:t xml:space="preserve">, </w:t>
      </w:r>
      <w:r>
        <w:rPr>
          <w:rFonts w:ascii="Consolas" w:hAnsi="Consolas"/>
          <w:color w:val="1F1F1F"/>
          <w:sz w:val="19"/>
          <w:shd w:val="clear" w:fill="F2F2F2"/>
        </w:rPr>
        <w:t>score_final</w:t>
      </w:r>
      <w:r>
        <w:rPr>
          <w:color w:val="0A0A0A"/>
          <w:sz w:val="21"/>
        </w:rPr>
        <w:t xml:space="preserve"> e </w:t>
      </w:r>
      <w:r>
        <w:rPr>
          <w:rFonts w:ascii="Consolas" w:hAnsi="Consolas"/>
          <w:color w:val="1F1F1F"/>
          <w:sz w:val="19"/>
          <w:shd w:val="clear" w:fill="F2F2F2"/>
        </w:rPr>
        <w:t>sexo</w:t>
      </w:r>
      <w:r>
        <w:rPr>
          <w:color w:val="0A0A0A"/>
          <w:sz w:val="21"/>
        </w:rPr>
        <w:t xml:space="preserve">, deixando o front-end computar o indicador de encaminhamento para os gráficos. Essa é a exceção consciente à dependência da coluna </w:t>
      </w:r>
      <w:r>
        <w:rPr>
          <w:rFonts w:ascii="Consolas" w:hAnsi="Consolas"/>
          <w:color w:val="1F1F1F"/>
          <w:sz w:val="19"/>
          <w:shd w:val="clear" w:fill="F2F2F2"/>
        </w:rPr>
        <w:t>recomenda_exame</w:t>
      </w:r>
      <w:r>
        <w:rPr>
          <w:color w:val="0A0A0A"/>
          <w:sz w:val="21"/>
        </w:rPr>
        <w:t xml:space="preserve"> (ADR-0005), preservando o comportamento de relatório legado.</w:t>
      </w:r>
    </w:p>
    <w:p>
      <w:pPr>
        <w:keepNext/>
        <w:spacing w:before="320" w:after="120"/>
        <w:pBdr>
          <w:bottom w:val="single" w:sz="6" w:space="4" w:color="1F1F1F"/>
        </w:pBdr>
      </w:pPr>
      <w:r>
        <w:rPr>
          <w:b/>
          <w:color w:val="0A0A0A"/>
          <w:sz w:val="44"/>
        </w:rPr>
        <w:t>6. Autenticação, sessão e segurança</w:t>
      </w:r>
    </w:p>
    <w:p>
      <w:pPr>
        <w:jc w:val="both"/>
      </w:pPr>
      <w:r>
        <w:rPr>
          <w:b/>
          <w:color w:val="0A0A0A"/>
          <w:sz w:val="21"/>
        </w:rPr>
        <w:t>RN-33 — Login por OAuth2 password.</w:t>
      </w:r>
      <w:r>
        <w:rPr>
          <w:color w:val="0A0A0A"/>
          <w:sz w:val="21"/>
        </w:rPr>
        <w:t xml:space="preserve"> </w:t>
      </w:r>
      <w:r>
        <w:rPr>
          <w:rFonts w:ascii="Consolas" w:hAnsi="Consolas"/>
          <w:color w:val="1F1F1F"/>
          <w:sz w:val="19"/>
          <w:shd w:val="clear" w:fill="F2F2F2"/>
        </w:rPr>
        <w:t>POST /auth/login</w:t>
      </w:r>
      <w:r>
        <w:rPr>
          <w:color w:val="0A0A0A"/>
          <w:sz w:val="21"/>
        </w:rPr>
        <w:t xml:space="preserve"> recebe </w:t>
      </w:r>
      <w:r>
        <w:rPr>
          <w:rFonts w:ascii="Consolas" w:hAnsi="Consolas"/>
          <w:color w:val="1F1F1F"/>
          <w:sz w:val="19"/>
          <w:shd w:val="clear" w:fill="F2F2F2"/>
        </w:rPr>
        <w:t>username</w:t>
      </w:r>
      <w:r>
        <w:rPr>
          <w:color w:val="0A0A0A"/>
          <w:sz w:val="21"/>
        </w:rPr>
        <w:t xml:space="preserve"> e </w:t>
      </w:r>
      <w:r>
        <w:rPr>
          <w:rFonts w:ascii="Consolas" w:hAnsi="Consolas"/>
          <w:color w:val="1F1F1F"/>
          <w:sz w:val="19"/>
          <w:shd w:val="clear" w:fill="F2F2F2"/>
        </w:rPr>
        <w:t>password</w:t>
      </w:r>
      <w:r>
        <w:rPr>
          <w:color w:val="0A0A0A"/>
          <w:sz w:val="21"/>
        </w:rPr>
        <w:t xml:space="preserve"> em </w:t>
      </w:r>
      <w:r>
        <w:rPr>
          <w:rFonts w:ascii="Consolas" w:hAnsi="Consolas"/>
          <w:color w:val="1F1F1F"/>
          <w:sz w:val="19"/>
          <w:shd w:val="clear" w:fill="F2F2F2"/>
        </w:rPr>
        <w:t>application/x-www-form-urlencoded</w:t>
      </w:r>
      <w:r>
        <w:rPr>
          <w:color w:val="0A0A0A"/>
          <w:sz w:val="21"/>
        </w:rPr>
        <w:t>. O e-mail é normalizado para minúsculas.</w:t>
      </w:r>
    </w:p>
    <w:p>
      <w:pPr>
        <w:jc w:val="both"/>
      </w:pPr>
      <w:r>
        <w:rPr>
          <w:b/>
          <w:color w:val="0A0A0A"/>
          <w:sz w:val="21"/>
        </w:rPr>
        <w:t>RN-34 — Verificação de senha pelo PostgreSQL.</w:t>
      </w:r>
      <w:r>
        <w:rPr>
          <w:color w:val="0A0A0A"/>
          <w:sz w:val="21"/>
        </w:rPr>
        <w:t xml:space="preserve"> A senha é conferida pelo banco com </w:t>
      </w:r>
      <w:r>
        <w:rPr>
          <w:rFonts w:ascii="Consolas" w:hAnsi="Consolas"/>
          <w:color w:val="1F1F1F"/>
          <w:sz w:val="19"/>
          <w:shd w:val="clear" w:fill="F2F2F2"/>
        </w:rPr>
        <w:t>senha = crypt(:senha, senha)</w:t>
      </w:r>
      <w:r>
        <w:rPr>
          <w:color w:val="0A0A0A"/>
          <w:sz w:val="21"/>
        </w:rPr>
        <w:t xml:space="preserve"> (bcrypt nativo via </w:t>
      </w:r>
      <w:r>
        <w:rPr>
          <w:rFonts w:ascii="Consolas" w:hAnsi="Consolas"/>
          <w:color w:val="1F1F1F"/>
          <w:sz w:val="19"/>
          <w:shd w:val="clear" w:fill="F2F2F2"/>
        </w:rPr>
        <w:t>pgcrypto</w:t>
      </w:r>
      <w:r>
        <w:rPr>
          <w:color w:val="0A0A0A"/>
          <w:sz w:val="21"/>
        </w:rPr>
        <w:t xml:space="preserve">), exigindo ainda </w:t>
      </w:r>
      <w:r>
        <w:rPr>
          <w:rFonts w:ascii="Consolas" w:hAnsi="Consolas"/>
          <w:color w:val="1F1F1F"/>
          <w:sz w:val="19"/>
          <w:shd w:val="clear" w:fill="F2F2F2"/>
        </w:rPr>
        <w:t>ativo = TRUE</w:t>
      </w:r>
      <w:r>
        <w:rPr>
          <w:color w:val="0A0A0A"/>
          <w:sz w:val="21"/>
        </w:rPr>
        <w:t>. O Python nunca manipula o hash bcrypt. Credenciais inválidas resultam em HTTP 401 "Credenciais inválidas.".</w:t>
      </w:r>
    </w:p>
    <w:p>
      <w:pPr>
        <w:jc w:val="both"/>
      </w:pPr>
      <w:r>
        <w:rPr>
          <w:b/>
          <w:color w:val="0A0A0A"/>
          <w:sz w:val="21"/>
        </w:rPr>
        <w:t>RN-35 — Proteção contra força bruta.</w:t>
      </w:r>
      <w:r>
        <w:rPr>
          <w:color w:val="0A0A0A"/>
          <w:sz w:val="21"/>
        </w:rPr>
        <w:t xml:space="preserve"> Antes de autenticar, o sistema conta as tentativas de login mal-sucedidas do IP de origem nos últimos 10 minutos; a partir de 5 falhas, responde HTTP 429 ("Muitas tentativas de login. Tente novamente em 10 minutos."). Toda tentativa, bem-sucedida ou não, é registrada em </w:t>
      </w:r>
      <w:r>
        <w:rPr>
          <w:rFonts w:ascii="Consolas" w:hAnsi="Consolas"/>
          <w:color w:val="1F1F1F"/>
          <w:sz w:val="19"/>
          <w:shd w:val="clear" w:fill="F2F2F2"/>
        </w:rPr>
        <w:t>tb_log_tentativas_login</w:t>
      </w:r>
      <w:r>
        <w:rPr>
          <w:color w:val="0A0A0A"/>
          <w:sz w:val="21"/>
        </w:rPr>
        <w:t xml:space="preserve"> (append-only), que é a base dessa contagem.</w:t>
      </w:r>
    </w:p>
    <w:p>
      <w:pPr>
        <w:jc w:val="both"/>
      </w:pPr>
      <w:r>
        <w:rPr>
          <w:b/>
          <w:color w:val="0A0A0A"/>
          <w:sz w:val="21"/>
        </w:rPr>
        <w:t>RN-36 — Sessão auditável costurada ao token.</w:t>
      </w:r>
      <w:r>
        <w:rPr>
          <w:color w:val="0A0A0A"/>
          <w:sz w:val="21"/>
        </w:rPr>
        <w:t xml:space="preserve"> Em um login bem-sucedido, abre-se uma sessão em </w:t>
      </w:r>
      <w:r>
        <w:rPr>
          <w:rFonts w:ascii="Consolas" w:hAnsi="Consolas"/>
          <w:color w:val="1F1F1F"/>
          <w:sz w:val="19"/>
          <w:shd w:val="clear" w:fill="F2F2F2"/>
        </w:rPr>
        <w:t>tb_log_sessoes</w:t>
      </w:r>
      <w:r>
        <w:rPr>
          <w:color w:val="0A0A0A"/>
          <w:sz w:val="21"/>
        </w:rPr>
        <w:t xml:space="preserve">, cujo </w:t>
      </w:r>
      <w:r>
        <w:rPr>
          <w:rFonts w:ascii="Consolas" w:hAnsi="Consolas"/>
          <w:color w:val="1F1F1F"/>
          <w:sz w:val="19"/>
          <w:shd w:val="clear" w:fill="F2F2F2"/>
        </w:rPr>
        <w:t>id</w:t>
      </w:r>
      <w:r>
        <w:rPr>
          <w:color w:val="0A0A0A"/>
          <w:sz w:val="21"/>
        </w:rPr>
        <w:t xml:space="preserve"> (BIGSERIAL) é o </w:t>
      </w:r>
      <w:r>
        <w:rPr>
          <w:rFonts w:ascii="Consolas" w:hAnsi="Consolas"/>
          <w:color w:val="1F1F1F"/>
          <w:sz w:val="19"/>
          <w:shd w:val="clear" w:fill="F2F2F2"/>
        </w:rPr>
        <w:t>sessao_id</w:t>
      </w:r>
      <w:r>
        <w:rPr>
          <w:color w:val="0A0A0A"/>
          <w:sz w:val="21"/>
        </w:rPr>
        <w:t xml:space="preserve">. Esse identificador é embutido no JWT (claim </w:t>
      </w:r>
      <w:r>
        <w:rPr>
          <w:rFonts w:ascii="Consolas" w:hAnsi="Consolas"/>
          <w:color w:val="1F1F1F"/>
          <w:sz w:val="19"/>
          <w:shd w:val="clear" w:fill="F2F2F2"/>
        </w:rPr>
        <w:t>sid</w:t>
      </w:r>
      <w:r>
        <w:rPr>
          <w:color w:val="0A0A0A"/>
          <w:sz w:val="21"/>
        </w:rPr>
        <w:t xml:space="preserve">), ligando o token a um registro de sessão rastreável. O token também carrega </w:t>
      </w:r>
      <w:r>
        <w:rPr>
          <w:rFonts w:ascii="Consolas" w:hAnsi="Consolas"/>
          <w:color w:val="1F1F1F"/>
          <w:sz w:val="19"/>
          <w:shd w:val="clear" w:fill="F2F2F2"/>
        </w:rPr>
        <w:t>sub</w:t>
      </w:r>
      <w:r>
        <w:rPr>
          <w:color w:val="0A0A0A"/>
          <w:sz w:val="21"/>
        </w:rPr>
        <w:t xml:space="preserve"> (usuario_id), </w:t>
      </w:r>
      <w:r>
        <w:rPr>
          <w:rFonts w:ascii="Consolas" w:hAnsi="Consolas"/>
          <w:color w:val="1F1F1F"/>
          <w:sz w:val="19"/>
          <w:shd w:val="clear" w:fill="F2F2F2"/>
        </w:rPr>
        <w:t>role</w:t>
      </w:r>
      <w:r>
        <w:rPr>
          <w:color w:val="0A0A0A"/>
          <w:sz w:val="21"/>
        </w:rPr>
        <w:t xml:space="preserve">, </w:t>
      </w:r>
      <w:r>
        <w:rPr>
          <w:rFonts w:ascii="Consolas" w:hAnsi="Consolas"/>
          <w:color w:val="1F1F1F"/>
          <w:sz w:val="19"/>
          <w:shd w:val="clear" w:fill="F2F2F2"/>
        </w:rPr>
        <w:t>iat</w:t>
      </w:r>
      <w:r>
        <w:rPr>
          <w:color w:val="0A0A0A"/>
          <w:sz w:val="21"/>
        </w:rPr>
        <w:t xml:space="preserve"> e </w:t>
      </w:r>
      <w:r>
        <w:rPr>
          <w:rFonts w:ascii="Consolas" w:hAnsi="Consolas"/>
          <w:color w:val="1F1F1F"/>
          <w:sz w:val="19"/>
          <w:shd w:val="clear" w:fill="F2F2F2"/>
        </w:rPr>
        <w:t>exp</w:t>
      </w:r>
      <w:r>
        <w:rPr>
          <w:color w:val="0A0A0A"/>
          <w:sz w:val="21"/>
        </w:rPr>
        <w:t>.</w:t>
      </w:r>
    </w:p>
    <w:p>
      <w:pPr>
        <w:jc w:val="both"/>
      </w:pPr>
      <w:r>
        <w:rPr>
          <w:b/>
          <w:color w:val="0A0A0A"/>
          <w:sz w:val="21"/>
        </w:rPr>
        <w:t>RN-37 — Validade do token (TTL) de 30 minutos.</w:t>
      </w:r>
      <w:r>
        <w:rPr>
          <w:color w:val="0A0A0A"/>
          <w:sz w:val="21"/>
        </w:rPr>
        <w:t xml:space="preserve"> O JWT HS256 tem validade de 1800 segundos. A verificação confere a assinatura com </w:t>
      </w:r>
      <w:r>
        <w:rPr>
          <w:rFonts w:ascii="Consolas" w:hAnsi="Consolas"/>
          <w:color w:val="1F1F1F"/>
          <w:sz w:val="19"/>
          <w:shd w:val="clear" w:fill="F2F2F2"/>
        </w:rPr>
        <w:t>hmac.compare_digest</w:t>
      </w:r>
      <w:r>
        <w:rPr>
          <w:color w:val="0A0A0A"/>
          <w:sz w:val="21"/>
        </w:rPr>
        <w:t xml:space="preserve"> (resistente a ataque de temporização) e checa a expiração; qualquer falha resulta em HTTP 401.</w:t>
      </w:r>
    </w:p>
    <w:p>
      <w:pPr>
        <w:jc w:val="both"/>
      </w:pPr>
      <w:r>
        <w:rPr>
          <w:b/>
          <w:color w:val="0A0A0A"/>
          <w:sz w:val="21"/>
        </w:rPr>
        <w:t>RN-38 — Papéis e autorização.</w:t>
      </w:r>
      <w:r>
        <w:rPr>
          <w:color w:val="0A0A0A"/>
          <w:sz w:val="21"/>
        </w:rPr>
        <w:t xml:space="preserve"> O papel no token reflete o tipo no banco: usuário </w:t>
      </w:r>
      <w:r>
        <w:rPr>
          <w:rFonts w:ascii="Consolas" w:hAnsi="Consolas"/>
          <w:color w:val="1F1F1F"/>
          <w:sz w:val="19"/>
          <w:shd w:val="clear" w:fill="F2F2F2"/>
        </w:rPr>
        <w:t>admin</w:t>
      </w:r>
      <w:r>
        <w:rPr>
          <w:color w:val="0A0A0A"/>
          <w:sz w:val="21"/>
        </w:rPr>
        <w:t xml:space="preserve"> recebe </w:t>
      </w:r>
      <w:r>
        <w:rPr>
          <w:rFonts w:ascii="Consolas" w:hAnsi="Consolas"/>
          <w:color w:val="1F1F1F"/>
          <w:sz w:val="19"/>
          <w:shd w:val="clear" w:fill="F2F2F2"/>
        </w:rPr>
        <w:t>role = 'admin'</w:t>
      </w:r>
      <w:r>
        <w:rPr>
          <w:color w:val="0A0A0A"/>
          <w:sz w:val="21"/>
        </w:rPr>
        <w:t xml:space="preserve">; demais recebem </w:t>
      </w:r>
      <w:r>
        <w:rPr>
          <w:rFonts w:ascii="Consolas" w:hAnsi="Consolas"/>
          <w:color w:val="1F1F1F"/>
          <w:sz w:val="19"/>
          <w:shd w:val="clear" w:fill="F2F2F2"/>
        </w:rPr>
        <w:t>role = 'doctor'</w:t>
      </w:r>
      <w:r>
        <w:rPr>
          <w:color w:val="0A0A0A"/>
          <w:sz w:val="21"/>
        </w:rPr>
        <w:t xml:space="preserve">. O guarda </w:t>
      </w:r>
      <w:r>
        <w:rPr>
          <w:rFonts w:ascii="Consolas" w:hAnsi="Consolas"/>
          <w:color w:val="1F1F1F"/>
          <w:sz w:val="19"/>
          <w:shd w:val="clear" w:fill="F2F2F2"/>
        </w:rPr>
        <w:t>get_current_doctor</w:t>
      </w:r>
      <w:r>
        <w:rPr>
          <w:color w:val="0A0A0A"/>
          <w:sz w:val="21"/>
        </w:rPr>
        <w:t xml:space="preserve"> aceita ambos os papéis; o guarda </w:t>
      </w:r>
      <w:r>
        <w:rPr>
          <w:rFonts w:ascii="Consolas" w:hAnsi="Consolas"/>
          <w:color w:val="1F1F1F"/>
          <w:sz w:val="19"/>
          <w:shd w:val="clear" w:fill="F2F2F2"/>
        </w:rPr>
        <w:t>get_current_admin</w:t>
      </w:r>
      <w:r>
        <w:rPr>
          <w:color w:val="0A0A0A"/>
          <w:sz w:val="21"/>
        </w:rPr>
        <w:t xml:space="preserve"> exige </w:t>
      </w:r>
      <w:r>
        <w:rPr>
          <w:rFonts w:ascii="Consolas" w:hAnsi="Consolas"/>
          <w:color w:val="1F1F1F"/>
          <w:sz w:val="19"/>
          <w:shd w:val="clear" w:fill="F2F2F2"/>
        </w:rPr>
        <w:t>admin</w:t>
      </w:r>
      <w:r>
        <w:rPr>
          <w:color w:val="0A0A0A"/>
          <w:sz w:val="21"/>
        </w:rPr>
        <w:t xml:space="preserve"> (HTTP 403 caso contrário). A ocultação do menu de administração no front-end é apenas conveniência de interface — a verdadeira barreira de acesso está no back-end.</w:t>
      </w:r>
    </w:p>
    <w:p>
      <w:pPr>
        <w:jc w:val="both"/>
      </w:pPr>
      <w:r>
        <w:rPr>
          <w:b/>
          <w:color w:val="0A0A0A"/>
          <w:sz w:val="21"/>
        </w:rPr>
        <w:t>RN-39 — Logout.</w:t>
      </w:r>
      <w:r>
        <w:rPr>
          <w:color w:val="0A0A0A"/>
          <w:sz w:val="21"/>
        </w:rPr>
        <w:t xml:space="preserve"> </w:t>
      </w:r>
      <w:r>
        <w:rPr>
          <w:rFonts w:ascii="Consolas" w:hAnsi="Consolas"/>
          <w:color w:val="1F1F1F"/>
          <w:sz w:val="19"/>
          <w:shd w:val="clear" w:fill="F2F2F2"/>
        </w:rPr>
        <w:t>POST /auth/logout?sessao_id=</w:t>
      </w:r>
      <w:r>
        <w:rPr>
          <w:color w:val="0A0A0A"/>
          <w:sz w:val="21"/>
        </w:rPr>
        <w:t xml:space="preserve"> encerra a sessão correspondente, gravando </w:t>
      </w:r>
      <w:r>
        <w:rPr>
          <w:rFonts w:ascii="Consolas" w:hAnsi="Consolas"/>
          <w:color w:val="1F1F1F"/>
          <w:sz w:val="19"/>
          <w:shd w:val="clear" w:fill="F2F2F2"/>
        </w:rPr>
        <w:t>encerrada_em = NOW()</w:t>
      </w:r>
      <w:r>
        <w:rPr>
          <w:color w:val="0A0A0A"/>
          <w:sz w:val="21"/>
        </w:rPr>
        <w:t xml:space="preserve"> e </w:t>
      </w:r>
      <w:r>
        <w:rPr>
          <w:rFonts w:ascii="Consolas" w:hAnsi="Consolas"/>
          <w:color w:val="1F1F1F"/>
          <w:sz w:val="19"/>
          <w:shd w:val="clear" w:fill="F2F2F2"/>
        </w:rPr>
        <w:t>tipo_encerramento = 'logout'</w:t>
      </w:r>
      <w:r>
        <w:rPr>
          <w:color w:val="0A0A0A"/>
          <w:sz w:val="21"/>
        </w:rPr>
        <w:t xml:space="preserve"> em </w:t>
      </w:r>
      <w:r>
        <w:rPr>
          <w:rFonts w:ascii="Consolas" w:hAnsi="Consolas"/>
          <w:color w:val="1F1F1F"/>
          <w:sz w:val="19"/>
          <w:shd w:val="clear" w:fill="F2F2F2"/>
        </w:rPr>
        <w:t>tb_log_sessoes</w:t>
      </w:r>
      <w:r>
        <w:rPr>
          <w:color w:val="0A0A0A"/>
          <w:sz w:val="21"/>
        </w:rPr>
        <w:t>.</w:t>
      </w:r>
    </w:p>
    <w:p>
      <w:pPr>
        <w:keepNext/>
        <w:spacing w:before="320" w:after="120"/>
        <w:pBdr>
          <w:bottom w:val="single" w:sz="6" w:space="4" w:color="1F1F1F"/>
        </w:pBdr>
      </w:pPr>
      <w:r>
        <w:rPr>
          <w:b/>
          <w:color w:val="0A0A0A"/>
          <w:sz w:val="44"/>
        </w:rPr>
        <w:t>7. Gestão de usuários (administração)</w:t>
      </w:r>
    </w:p>
    <w:p>
      <w:pPr>
        <w:jc w:val="both"/>
      </w:pPr>
      <w:r>
        <w:rPr>
          <w:color w:val="0A0A0A"/>
          <w:sz w:val="21"/>
        </w:rPr>
        <w:t xml:space="preserve">Endpoints sob </w:t>
      </w:r>
      <w:r>
        <w:rPr>
          <w:rFonts w:ascii="Consolas" w:hAnsi="Consolas"/>
          <w:color w:val="1F1F1F"/>
          <w:sz w:val="19"/>
          <w:shd w:val="clear" w:fill="F2F2F2"/>
        </w:rPr>
        <w:t>/usuarios</w:t>
      </w:r>
      <w:r>
        <w:rPr>
          <w:color w:val="0A0A0A"/>
          <w:sz w:val="21"/>
        </w:rPr>
        <w:t>, todos restritos a administradores (</w:t>
      </w:r>
      <w:r>
        <w:rPr>
          <w:rFonts w:ascii="Consolas" w:hAnsi="Consolas"/>
          <w:color w:val="1F1F1F"/>
          <w:sz w:val="19"/>
          <w:shd w:val="clear" w:fill="F2F2F2"/>
        </w:rPr>
        <w:t>get_current_admin</w:t>
      </w:r>
      <w:r>
        <w:rPr>
          <w:color w:val="0A0A0A"/>
          <w:sz w:val="21"/>
        </w:rPr>
        <w:t>).</w:t>
      </w:r>
    </w:p>
    <w:p>
      <w:pPr>
        <w:jc w:val="both"/>
      </w:pPr>
      <w:r>
        <w:rPr>
          <w:b/>
          <w:color w:val="0A0A0A"/>
          <w:sz w:val="21"/>
        </w:rPr>
        <w:t>RN-40 — Criação de médico.</w:t>
      </w:r>
      <w:r>
        <w:rPr>
          <w:color w:val="0A0A0A"/>
          <w:sz w:val="21"/>
        </w:rPr>
        <w:t xml:space="preserve"> </w:t>
      </w:r>
      <w:r>
        <w:rPr>
          <w:rFonts w:ascii="Consolas" w:hAnsi="Consolas"/>
          <w:color w:val="1F1F1F"/>
          <w:sz w:val="19"/>
          <w:shd w:val="clear" w:fill="F2F2F2"/>
        </w:rPr>
        <w:t>POST /usuarios</w:t>
      </w:r>
      <w:r>
        <w:rPr>
          <w:color w:val="0A0A0A"/>
          <w:sz w:val="21"/>
        </w:rPr>
        <w:t xml:space="preserve"> cria um usuário do tipo </w:t>
      </w:r>
      <w:r>
        <w:rPr>
          <w:rFonts w:ascii="Consolas" w:hAnsi="Consolas"/>
          <w:color w:val="1F1F1F"/>
          <w:sz w:val="19"/>
          <w:shd w:val="clear" w:fill="F2F2F2"/>
        </w:rPr>
        <w:t>medico</w:t>
      </w:r>
      <w:r>
        <w:rPr>
          <w:color w:val="0A0A0A"/>
          <w:sz w:val="21"/>
        </w:rPr>
        <w:t>. Validações do caso de uso: nome obrigatório; e-mail obrigatório (normalizado para minúsculas); senha com no mínimo 8 caracteres (</w:t>
      </w:r>
      <w:r>
        <w:rPr>
          <w:rFonts w:ascii="Consolas" w:hAnsi="Consolas"/>
          <w:color w:val="1F1F1F"/>
          <w:sz w:val="19"/>
          <w:shd w:val="clear" w:fill="F2F2F2"/>
        </w:rPr>
        <w:t>DomainError</w:t>
      </w:r>
      <w:r>
        <w:rPr>
          <w:color w:val="0A0A0A"/>
          <w:sz w:val="21"/>
        </w:rPr>
        <w:t xml:space="preserve"> caso contrário); e-mail único (</w:t>
      </w:r>
      <w:r>
        <w:rPr>
          <w:rFonts w:ascii="Consolas" w:hAnsi="Consolas"/>
          <w:color w:val="1F1F1F"/>
          <w:sz w:val="19"/>
          <w:shd w:val="clear" w:fill="F2F2F2"/>
        </w:rPr>
        <w:t>ConflictError</w:t>
      </w:r>
      <w:r>
        <w:rPr>
          <w:color w:val="0A0A0A"/>
          <w:sz w:val="21"/>
        </w:rPr>
        <w:t xml:space="preserve"> "Já existe um usuário com este e-mail." se já houver). A senha é cifrada com bcrypt na própria inserção (</w:t>
      </w:r>
      <w:r>
        <w:rPr>
          <w:rFonts w:ascii="Consolas" w:hAnsi="Consolas"/>
          <w:color w:val="1F1F1F"/>
          <w:sz w:val="19"/>
          <w:shd w:val="clear" w:fill="F2F2F2"/>
        </w:rPr>
        <w:t>crypt(:senha, gen_salt('bf'))</w:t>
      </w:r>
      <w:r>
        <w:rPr>
          <w:color w:val="0A0A0A"/>
          <w:sz w:val="21"/>
        </w:rPr>
        <w:t>).</w:t>
      </w:r>
    </w:p>
    <w:p>
      <w:pPr>
        <w:jc w:val="both"/>
      </w:pPr>
      <w:r>
        <w:rPr>
          <w:b/>
          <w:color w:val="0A0A0A"/>
          <w:sz w:val="21"/>
        </w:rPr>
        <w:t>RN-41 — Ativar/desativar usuário, sem auto-desativação.</w:t>
      </w:r>
      <w:r>
        <w:rPr>
          <w:color w:val="0A0A0A"/>
          <w:sz w:val="21"/>
        </w:rPr>
        <w:t xml:space="preserve"> </w:t>
      </w:r>
      <w:r>
        <w:rPr>
          <w:rFonts w:ascii="Consolas" w:hAnsi="Consolas"/>
          <w:color w:val="1F1F1F"/>
          <w:sz w:val="19"/>
          <w:shd w:val="clear" w:fill="F2F2F2"/>
        </w:rPr>
        <w:t>PATCH /usuarios/{id}</w:t>
      </w:r>
      <w:r>
        <w:rPr>
          <w:color w:val="0A0A0A"/>
          <w:sz w:val="21"/>
        </w:rPr>
        <w:t xml:space="preserve"> habilita ou desabilita um usuário (exclusão lógica). Um administrador </w:t>
      </w:r>
      <w:r>
        <w:rPr>
          <w:b/>
          <w:color w:val="0A0A0A"/>
          <w:sz w:val="21"/>
        </w:rPr>
        <w:t>não pode desativar a própria conta</w:t>
      </w:r>
      <w:r>
        <w:rPr>
          <w:color w:val="0A0A0A"/>
          <w:sz w:val="21"/>
        </w:rPr>
        <w:t xml:space="preserve"> (</w:t>
      </w:r>
      <w:r>
        <w:rPr>
          <w:rFonts w:ascii="Consolas" w:hAnsi="Consolas"/>
          <w:color w:val="1F1F1F"/>
          <w:sz w:val="19"/>
          <w:shd w:val="clear" w:fill="F2F2F2"/>
        </w:rPr>
        <w:t>DomainError</w:t>
      </w:r>
      <w:r>
        <w:rPr>
          <w:color w:val="0A0A0A"/>
          <w:sz w:val="21"/>
        </w:rPr>
        <w:t xml:space="preserve"> "Você não pode desativar a própria conta.").</w:t>
      </w:r>
    </w:p>
    <w:p>
      <w:pPr>
        <w:jc w:val="both"/>
      </w:pPr>
      <w:r>
        <w:rPr>
          <w:b/>
          <w:color w:val="0A0A0A"/>
          <w:sz w:val="21"/>
        </w:rPr>
        <w:t>RN-42 — Exclusão de usuário com salvaguardas.</w:t>
      </w:r>
      <w:r>
        <w:rPr>
          <w:color w:val="0A0A0A"/>
          <w:sz w:val="21"/>
        </w:rPr>
        <w:t xml:space="preserve"> </w:t>
      </w:r>
      <w:r>
        <w:rPr>
          <w:rFonts w:ascii="Consolas" w:hAnsi="Consolas"/>
          <w:color w:val="1F1F1F"/>
          <w:sz w:val="19"/>
          <w:shd w:val="clear" w:fill="F2F2F2"/>
        </w:rPr>
        <w:t>DELETE /usuarios/{id}</w:t>
      </w:r>
      <w:r>
        <w:rPr>
          <w:color w:val="0A0A0A"/>
          <w:sz w:val="21"/>
        </w:rPr>
        <w:t xml:space="preserve"> remove um usuário, confirmado com a senha do administrador requisitante. Regras: um administrador não pode excluir a própria conta (</w:t>
      </w:r>
      <w:r>
        <w:rPr>
          <w:rFonts w:ascii="Consolas" w:hAnsi="Consolas"/>
          <w:color w:val="1F1F1F"/>
          <w:sz w:val="19"/>
          <w:shd w:val="clear" w:fill="F2F2F2"/>
        </w:rPr>
        <w:t>DomainError</w:t>
      </w:r>
      <w:r>
        <w:rPr>
          <w:color w:val="0A0A0A"/>
          <w:sz w:val="21"/>
        </w:rPr>
        <w:t xml:space="preserve">); senha incorreta resulta em HTTP 422 (não 401, pelo mesmo motivo da RN-14); e, se o usuário possuir registros clínicos ou de auditoria vinculados (violação de chave estrangeira), a exclusão é bloqueada com </w:t>
      </w:r>
      <w:r>
        <w:rPr>
          <w:rFonts w:ascii="Consolas" w:hAnsi="Consolas"/>
          <w:color w:val="1F1F1F"/>
          <w:sz w:val="19"/>
          <w:shd w:val="clear" w:fill="F2F2F2"/>
        </w:rPr>
        <w:t>ConflictError</w:t>
      </w:r>
      <w:r>
        <w:rPr>
          <w:color w:val="0A0A0A"/>
          <w:sz w:val="21"/>
        </w:rPr>
        <w:t xml:space="preserve"> (HTTP 409), recomendando a desativação em vez da exclusão para preservar a trilha clínica e de auditoria.</w:t>
      </w:r>
    </w:p>
    <w:p>
      <w:pPr>
        <w:keepNext/>
        <w:spacing w:before="320" w:after="120"/>
        <w:pBdr>
          <w:bottom w:val="single" w:sz="6" w:space="4" w:color="1F1F1F"/>
        </w:pBdr>
      </w:pPr>
      <w:r>
        <w:rPr>
          <w:b/>
          <w:color w:val="0A0A0A"/>
          <w:sz w:val="44"/>
        </w:rPr>
        <w:t>8. Proteção de dados pessoais (LGPD)</w:t>
      </w:r>
    </w:p>
    <w:p>
      <w:pPr>
        <w:jc w:val="both"/>
      </w:pPr>
      <w:r>
        <w:rPr>
          <w:b/>
          <w:color w:val="0A0A0A"/>
          <w:sz w:val="21"/>
        </w:rPr>
        <w:t>RN-43 — Cifragem em repouso.</w:t>
      </w:r>
      <w:r>
        <w:rPr>
          <w:color w:val="0A0A0A"/>
          <w:sz w:val="21"/>
        </w:rPr>
        <w:t xml:space="preserve"> Os nomes de paciente e acompanhante são cifrados no banco com </w:t>
      </w:r>
      <w:r>
        <w:rPr>
          <w:rFonts w:ascii="Consolas" w:hAnsi="Consolas"/>
          <w:color w:val="1F1F1F"/>
          <w:sz w:val="19"/>
          <w:shd w:val="clear" w:fill="F2F2F2"/>
        </w:rPr>
        <w:t>pgp_sym_encrypt</w:t>
      </w:r>
      <w:r>
        <w:rPr>
          <w:color w:val="0A0A0A"/>
          <w:sz w:val="21"/>
        </w:rPr>
        <w:t xml:space="preserve"> (AES-256, via </w:t>
      </w:r>
      <w:r>
        <w:rPr>
          <w:rFonts w:ascii="Consolas" w:hAnsi="Consolas"/>
          <w:color w:val="1F1F1F"/>
          <w:sz w:val="19"/>
          <w:shd w:val="clear" w:fill="F2F2F2"/>
        </w:rPr>
        <w:t>pgcrypto</w:t>
      </w:r>
      <w:r>
        <w:rPr>
          <w:color w:val="0A0A0A"/>
          <w:sz w:val="21"/>
        </w:rPr>
        <w:t xml:space="preserve">) e guardados como BYTEA. As views decifram em tempo de execução com </w:t>
      </w:r>
      <w:r>
        <w:rPr>
          <w:rFonts w:ascii="Consolas" w:hAnsi="Consolas"/>
          <w:color w:val="1F1F1F"/>
          <w:sz w:val="19"/>
          <w:shd w:val="clear" w:fill="F2F2F2"/>
        </w:rPr>
        <w:t>pgp_sym_decrypt</w:t>
      </w:r>
      <w:r>
        <w:rPr>
          <w:color w:val="0A0A0A"/>
          <w:sz w:val="21"/>
        </w:rPr>
        <w:t>. O CPF nunca é guardado, apenas seu hash SHA-256 (RN-04).</w:t>
      </w:r>
    </w:p>
    <w:p>
      <w:pPr>
        <w:jc w:val="both"/>
      </w:pPr>
      <w:r>
        <w:rPr>
          <w:b/>
          <w:color w:val="0A0A0A"/>
          <w:sz w:val="21"/>
        </w:rPr>
        <w:t>RN-44 — Chave de cifragem injetada por sessão.</w:t>
      </w:r>
      <w:r>
        <w:rPr>
          <w:color w:val="0A0A0A"/>
          <w:sz w:val="21"/>
        </w:rPr>
        <w:t xml:space="preserve"> A chave PGP nunca é armazenada no banco. É injetada por conexão, no início da sessão, por </w:t>
      </w:r>
      <w:r>
        <w:rPr>
          <w:rFonts w:ascii="Consolas" w:hAnsi="Consolas"/>
          <w:color w:val="1F1F1F"/>
          <w:sz w:val="19"/>
          <w:shd w:val="clear" w:fill="F2F2F2"/>
        </w:rPr>
        <w:t>SELECT set_config('app.pgp_key', :key, true)</w:t>
      </w:r>
      <w:r>
        <w:rPr>
          <w:color w:val="0A0A0A"/>
          <w:sz w:val="21"/>
        </w:rPr>
        <w:t xml:space="preserve">; as views a leem com </w:t>
      </w:r>
      <w:r>
        <w:rPr>
          <w:rFonts w:ascii="Consolas" w:hAnsi="Consolas"/>
          <w:color w:val="1F1F1F"/>
          <w:sz w:val="19"/>
          <w:shd w:val="clear" w:fill="F2F2F2"/>
        </w:rPr>
        <w:t>current_setting('app.pgp_key')</w:t>
      </w:r>
      <w:r>
        <w:rPr>
          <w:color w:val="0A0A0A"/>
          <w:sz w:val="21"/>
        </w:rPr>
        <w:t xml:space="preserve"> para decifrar. A chave existe apenas em memória durante a conexão — mesmo com acesso ao armazenamento físico, os nomes permanecem ilegíveis sem ela.</w:t>
      </w:r>
    </w:p>
    <w:p>
      <w:pPr>
        <w:jc w:val="both"/>
      </w:pPr>
      <w:r>
        <w:rPr>
          <w:b/>
          <w:color w:val="0A0A0A"/>
          <w:sz w:val="21"/>
        </w:rPr>
        <w:t>RN-45 — Mascaramento de CPF na borda.</w:t>
      </w:r>
      <w:r>
        <w:rPr>
          <w:color w:val="0A0A0A"/>
          <w:sz w:val="21"/>
        </w:rPr>
        <w:t xml:space="preserve"> A API nunca devolve o CPF em claro (de fato, só possui o hash). Onde o CPF apareceria, retorna-se o marcador fixo </w:t>
      </w:r>
      <w:r>
        <w:rPr>
          <w:rFonts w:ascii="Consolas" w:hAnsi="Consolas"/>
          <w:color w:val="1F1F1F"/>
          <w:sz w:val="19"/>
          <w:shd w:val="clear" w:fill="F2F2F2"/>
        </w:rPr>
        <w:t>CPF_MASK = "***.***.***-**"</w:t>
      </w:r>
      <w:r>
        <w:rPr>
          <w:color w:val="0A0A0A"/>
          <w:sz w:val="21"/>
        </w:rPr>
        <w:t>.</w:t>
      </w:r>
    </w:p>
    <w:p>
      <w:pPr>
        <w:jc w:val="both"/>
      </w:pPr>
      <w:r>
        <w:rPr>
          <w:b/>
          <w:color w:val="0A0A0A"/>
          <w:sz w:val="21"/>
        </w:rPr>
        <w:t>RN-46 — Exposição do nome ao médico dono.</w:t>
      </w:r>
      <w:r>
        <w:rPr>
          <w:color w:val="0A0A0A"/>
          <w:sz w:val="21"/>
        </w:rPr>
        <w:t xml:space="preserve"> O detalhe e a lista de pacientes retornam o nome decifrado ao médico que cadastrou o paciente, viabilizando a operação clínica (busca, prontuário, laudo). O utilitário </w:t>
      </w:r>
      <w:r>
        <w:rPr>
          <w:rFonts w:ascii="Consolas" w:hAnsi="Consolas"/>
          <w:color w:val="1F1F1F"/>
          <w:sz w:val="19"/>
          <w:shd w:val="clear" w:fill="F2F2F2"/>
        </w:rPr>
        <w:t>mask_name</w:t>
      </w:r>
      <w:r>
        <w:rPr>
          <w:color w:val="0A0A0A"/>
          <w:sz w:val="21"/>
        </w:rPr>
        <w:t xml:space="preserve"> (que exibe o primeiro nome e mascara os sobrenomes) está disponível na camada de apresentação como mecanismo de mascaramento de nome; no estado atual do código, o mascaramento efetivamente aplicado nas respostas é o do CPF, enquanto o nome do paciente é entregue em claro ao médico dono. Esta nota reflete o comportamento real do código.</w:t>
      </w:r>
    </w:p>
    <w:p>
      <w:pPr>
        <w:jc w:val="both"/>
      </w:pPr>
      <w:r>
        <w:rPr>
          <w:b/>
          <w:color w:val="0A0A0A"/>
          <w:sz w:val="21"/>
        </w:rPr>
        <w:t>RN-47 — Trilhas de auditoria imutáveis.</w:t>
      </w:r>
      <w:r>
        <w:rPr>
          <w:color w:val="0A0A0A"/>
          <w:sz w:val="21"/>
        </w:rPr>
        <w:t xml:space="preserve"> O sistema mantém registros append-only que apoiam a prestação de contas exigida pela LGPD: </w:t>
      </w:r>
      <w:r>
        <w:rPr>
          <w:rFonts w:ascii="Consolas" w:hAnsi="Consolas"/>
          <w:color w:val="1F1F1F"/>
          <w:sz w:val="19"/>
          <w:shd w:val="clear" w:fill="F2F2F2"/>
        </w:rPr>
        <w:t>tb_log_sessoes</w:t>
      </w:r>
      <w:r>
        <w:rPr>
          <w:color w:val="0A0A0A"/>
          <w:sz w:val="21"/>
        </w:rPr>
        <w:t xml:space="preserve"> (ciclo de vida das sessões), </w:t>
      </w:r>
      <w:r>
        <w:rPr>
          <w:rFonts w:ascii="Consolas" w:hAnsi="Consolas"/>
          <w:color w:val="1F1F1F"/>
          <w:sz w:val="19"/>
          <w:shd w:val="clear" w:fill="F2F2F2"/>
        </w:rPr>
        <w:t>tb_log_tentativas_login</w:t>
      </w:r>
      <w:r>
        <w:rPr>
          <w:color w:val="0A0A0A"/>
          <w:sz w:val="21"/>
        </w:rPr>
        <w:t xml:space="preserve"> (tentativas de login), </w:t>
      </w:r>
      <w:r>
        <w:rPr>
          <w:rFonts w:ascii="Consolas" w:hAnsi="Consolas"/>
          <w:color w:val="1F1F1F"/>
          <w:sz w:val="19"/>
          <w:shd w:val="clear" w:fill="F2F2F2"/>
        </w:rPr>
        <w:t>tb_log_analises</w:t>
      </w:r>
      <w:r>
        <w:rPr>
          <w:color w:val="0A0A0A"/>
          <w:sz w:val="21"/>
        </w:rPr>
        <w:t xml:space="preserve"> (execuções de escore, com escore em claro para auditoria do modelo) e </w:t>
      </w:r>
      <w:r>
        <w:rPr>
          <w:rFonts w:ascii="Consolas" w:hAnsi="Consolas"/>
          <w:color w:val="1F1F1F"/>
          <w:sz w:val="19"/>
          <w:shd w:val="clear" w:fill="F2F2F2"/>
        </w:rPr>
        <w:t>tb_auditoria</w:t>
      </w:r>
      <w:r>
        <w:rPr>
          <w:color w:val="0A0A0A"/>
          <w:sz w:val="21"/>
        </w:rPr>
        <w:t xml:space="preserve"> (trilha geral de mutações, com estado anterior e novo em JSONB).</w:t>
      </w:r>
    </w:p>
    <w:p>
      <w:pPr>
        <w:jc w:val="both"/>
      </w:pPr>
      <w:r>
        <w:rPr>
          <w:b/>
          <w:color w:val="0A0A0A"/>
          <w:sz w:val="21"/>
        </w:rPr>
        <w:t>RN-48 — Controle de acesso no banco (RBAC).</w:t>
      </w:r>
      <w:r>
        <w:rPr>
          <w:color w:val="0A0A0A"/>
          <w:sz w:val="21"/>
        </w:rPr>
        <w:t xml:space="preserve"> O acesso ao banco é segmentado em três papéis: </w:t>
      </w:r>
      <w:r>
        <w:rPr>
          <w:rFonts w:ascii="Consolas" w:hAnsi="Consolas"/>
          <w:color w:val="1F1F1F"/>
          <w:sz w:val="19"/>
          <w:shd w:val="clear" w:fill="F2F2F2"/>
        </w:rPr>
        <w:t>nivel_1</w:t>
      </w:r>
      <w:r>
        <w:rPr>
          <w:color w:val="0A0A0A"/>
          <w:sz w:val="21"/>
        </w:rPr>
        <w:t xml:space="preserve"> (aplicação) opera apenas pelas views e executa as funções; </w:t>
      </w:r>
      <w:r>
        <w:rPr>
          <w:rFonts w:ascii="Consolas" w:hAnsi="Consolas"/>
          <w:color w:val="1F1F1F"/>
          <w:sz w:val="19"/>
          <w:shd w:val="clear" w:fill="F2F2F2"/>
        </w:rPr>
        <w:t>nivel_2</w:t>
      </w:r>
      <w:r>
        <w:rPr>
          <w:color w:val="0A0A0A"/>
          <w:sz w:val="21"/>
        </w:rPr>
        <w:t xml:space="preserve"> (auditoria) tem leitura ampla; </w:t>
      </w:r>
      <w:r>
        <w:rPr>
          <w:rFonts w:ascii="Consolas" w:hAnsi="Consolas"/>
          <w:color w:val="1F1F1F"/>
          <w:sz w:val="19"/>
          <w:shd w:val="clear" w:fill="F2F2F2"/>
        </w:rPr>
        <w:t>nivel_3</w:t>
      </w:r>
      <w:r>
        <w:rPr>
          <w:color w:val="0A0A0A"/>
          <w:sz w:val="21"/>
        </w:rPr>
        <w:t xml:space="preserve"> (BI) lê as views clínicas e a view anonimizada. O Row Level Security está habilitado, e as políticas seguem essa segmentação. É por meio da restrição do </w:t>
      </w:r>
      <w:r>
        <w:rPr>
          <w:rFonts w:ascii="Consolas" w:hAnsi="Consolas"/>
          <w:color w:val="1F1F1F"/>
          <w:sz w:val="19"/>
          <w:shd w:val="clear" w:fill="F2F2F2"/>
        </w:rPr>
        <w:t>nivel_1</w:t>
      </w:r>
      <w:r>
        <w:rPr>
          <w:color w:val="0A0A0A"/>
          <w:sz w:val="21"/>
        </w:rPr>
        <w:t xml:space="preserve"> às views que se efetiva a regra "o back-end não toca nas tabelas físicas".</w:t>
      </w:r>
    </w:p>
    <w:p>
      <w:pPr>
        <w:keepNext/>
        <w:spacing w:before="320" w:after="120"/>
        <w:pBdr>
          <w:bottom w:val="single" w:sz="6" w:space="4" w:color="1F1F1F"/>
        </w:pBdr>
      </w:pPr>
      <w:r>
        <w:rPr>
          <w:b/>
          <w:color w:val="0A0A0A"/>
          <w:sz w:val="44"/>
        </w:rPr>
        <w:t>9. Quadro-resumo das regras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1F1F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Código</w:t>
            </w:r>
          </w:p>
        </w:tc>
        <w:tc>
          <w:tcPr>
            <w:tcW w:type="dxa" w:w="3216"/>
            <w:shd w:val="clear" w:color="auto" w:fill="1F1F1F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Regra</w:t>
            </w:r>
          </w:p>
        </w:tc>
        <w:tc>
          <w:tcPr>
            <w:tcW w:type="dxa" w:w="3216"/>
            <w:shd w:val="clear" w:color="auto" w:fill="1F1F1F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Aplicação concreta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RN-01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Pré-diagnóstico, não diagnóstico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 xml:space="preserve">Desfecho </w:t>
            </w: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recomenda_exame</w:t>
            </w:r>
          </w:p>
        </w:tc>
      </w:tr>
      <w:tr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RN-03</w:t>
            </w:r>
          </w:p>
        </w:tc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Validação de formato do paciente</w:t>
            </w:r>
          </w:p>
        </w:tc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 xml:space="preserve">Schema Pydantic </w:t>
            </w: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extra="forbid"</w:t>
            </w:r>
            <w:r>
              <w:rPr>
                <w:color w:val="0A0A0A"/>
                <w:sz w:val="19"/>
              </w:rPr>
              <w:t>; sexo restrito a M, F ou I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RN-04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CPF só como hash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CPF</w:t>
            </w:r>
            <w:r>
              <w:rPr>
                <w:color w:val="0A0A0A"/>
                <w:sz w:val="19"/>
              </w:rPr>
              <w:t xml:space="preserve"> valida 11 dígitos; persiste </w:t>
            </w: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cpf_hash</w:t>
            </w:r>
            <w:r>
              <w:rPr>
                <w:color w:val="0A0A0A"/>
                <w:sz w:val="19"/>
              </w:rPr>
              <w:t xml:space="preserve"> SHA-256</w:t>
            </w:r>
          </w:p>
        </w:tc>
      </w:tr>
      <w:tr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RN-06</w:t>
            </w:r>
          </w:p>
        </w:tc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Acompanhante deduplicado por CPF</w:t>
            </w:r>
          </w:p>
        </w:tc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 xml:space="preserve">Reuso por </w:t>
            </w: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cpf_hash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RN-09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RBAC por médico dono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WHERE criado_por = :usuario_id</w:t>
            </w:r>
          </w:p>
        </w:tc>
      </w:tr>
      <w:tr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RN-14</w:t>
            </w:r>
          </w:p>
        </w:tc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Exclusão confirma com senha; 422 se errada</w:t>
            </w:r>
          </w:p>
        </w:tc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DomainError</w:t>
            </w:r>
            <w:r>
              <w:rPr>
                <w:color w:val="0A0A0A"/>
                <w:sz w:val="19"/>
              </w:rPr>
              <w:t xml:space="preserve"> "Senha incorreta."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RN-17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Checklist não vazio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respostas</w:t>
            </w:r>
            <w:r>
              <w:rPr>
                <w:color w:val="0A0A0A"/>
                <w:sz w:val="19"/>
              </w:rPr>
              <w:t xml:space="preserve"> </w:t>
            </w: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min_length=1</w:t>
            </w:r>
          </w:p>
        </w:tc>
      </w:tr>
      <w:tr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RN-18</w:t>
            </w:r>
          </w:p>
        </w:tc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Escore no banco</w:t>
            </w:r>
          </w:p>
        </w:tc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fn_calcular_score_triagem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RN-20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Limiares por sexo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M 0.56 / F 0.55 (</w:t>
            </w: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parametro_triagem</w:t>
            </w:r>
            <w:r>
              <w:rPr>
                <w:color w:val="0A0A0A"/>
                <w:sz w:val="19"/>
              </w:rPr>
              <w:t>)</w:t>
            </w:r>
          </w:p>
        </w:tc>
      </w:tr>
      <w:tr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RN-22</w:t>
            </w:r>
          </w:p>
        </w:tc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Diagnóstico prévio suprime recomendação</w:t>
            </w:r>
          </w:p>
        </w:tc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 xml:space="preserve">view: </w:t>
            </w: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CASE WHEN diagnostico_previo_fxs THEN false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RN-23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Encaminhamento automático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tipo='exame_fmr1'</w:t>
            </w:r>
            <w:r>
              <w:rPr>
                <w:color w:val="0A0A0A"/>
                <w:sz w:val="19"/>
              </w:rPr>
              <w:t xml:space="preserve">, </w:t>
            </w: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gerado_automaticamente=TRUE</w:t>
            </w:r>
          </w:p>
        </w:tc>
      </w:tr>
      <w:tr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RN-30</w:t>
            </w:r>
          </w:p>
        </w:tc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k-anonimato nas estatísticas</w:t>
            </w:r>
          </w:p>
        </w:tc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K_ANONYMITY_THRESHOLD = 5</w:t>
            </w:r>
            <w:r>
              <w:rPr>
                <w:color w:val="0A0A0A"/>
                <w:sz w:val="19"/>
              </w:rPr>
              <w:t xml:space="preserve"> → HTTP 422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RN-35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Anti-força bruta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5 falhas / 10 min por IP → HTTP 429</w:t>
            </w:r>
          </w:p>
        </w:tc>
      </w:tr>
      <w:tr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RN-37</w:t>
            </w:r>
          </w:p>
        </w:tc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TTL do token</w:t>
            </w:r>
          </w:p>
        </w:tc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1800 s (30 min)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RN-40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Senha mínima de médico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8 caracteres</w:t>
            </w:r>
          </w:p>
        </w:tc>
      </w:tr>
      <w:tr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RN-44</w:t>
            </w:r>
          </w:p>
        </w:tc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Chave PGP por sessão</w:t>
            </w:r>
          </w:p>
        </w:tc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set_config('app.pgp_key', ...)</w:t>
            </w:r>
          </w:p>
        </w:tc>
      </w:tr>
    </w:tbl>
    <w:p>
      <w:pPr>
        <w:keepNext/>
        <w:spacing w:before="320" w:after="120"/>
        <w:pBdr>
          <w:bottom w:val="single" w:sz="6" w:space="4" w:color="1F1F1F"/>
        </w:pBdr>
      </w:pPr>
      <w:r>
        <w:rPr>
          <w:b/>
          <w:color w:val="0A0A0A"/>
          <w:sz w:val="44"/>
        </w:rPr>
        <w:t>10. Considerações finais</w:t>
      </w:r>
    </w:p>
    <w:p>
      <w:pPr>
        <w:jc w:val="both"/>
      </w:pPr>
      <w:r>
        <w:rPr>
          <w:color w:val="0A0A0A"/>
          <w:sz w:val="21"/>
        </w:rPr>
        <w:t>As regras aqui descritas são as que governam o comportamento observável do CITO no estado atual do código. Duas características merecem ênfase do ponto de vista de negócio. Primeiro, a regra clínica de maior valor — o escore e o limiar de decisão — reside no banco de dados, o que torna possível recalibrar o modelo (pesos e limiares) por meio de simples atualizações de dados, sem novo deploy de aplicação, e ainda preserva a auditabilidade de cada execução. Segundo, a proteção de dados pessoais não é um adendo, e sim uma propriedade transversal: ela aparece na cifragem em repouso, na chave por sessão, no mascaramento de CPF na borda, na supressão estatística por k-anonimato e nas trilhas de auditoria imutáveis. Onde o comportamento real do código diverge de uma intenção documentada — como no mascaramento de nome, hoje aplicado apenas ao CPF — o presente documento descreve o que o sistema efetivamente faz.</w:t>
      </w:r>
    </w:p>
    <w:sectPr w:rsidR="00FC693F" w:rsidRPr="0006063C" w:rsidSect="00034616">
      <w:footerReference w:type="default" r:id="rId9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 xml:space="preserve">CITO · </w:t>
    </w:r>
    <w:r>
      <w:rPr>
        <w:color w:val="5A5A5A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0A0A0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