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Guia de Instalação e Setup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Sistema CITO — Ferramenta de Pré-diagnóstico da Síndrome do X Frágil</w:t>
      </w:r>
    </w:p>
    <w:p>
      <w:pPr>
        <w:jc w:val="both"/>
      </w:pPr>
      <w:r>
        <w:rPr>
          <w:color w:val="0A0A0A"/>
          <w:sz w:val="21"/>
        </w:rPr>
        <w:t>Este guia é prático e destina-se a dois públicos: o desenvolvedor que precisa subir o projeto localmente e a pessoa que implanta ou deseja compreender o ambiente de produção no Azure App Service. Todas as instruções estão fundamentadas nos arquivos de configuração, dependências e scripts de inicialização efetivamente presentes no repositório.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1. Visão geral da implantação</w:t>
      </w:r>
    </w:p>
    <w:p>
      <w:pPr>
        <w:jc w:val="both"/>
      </w:pPr>
      <w:r>
        <w:rPr>
          <w:color w:val="0A0A0A"/>
          <w:sz w:val="21"/>
        </w:rPr>
        <w:t>O CITO é composto por três partes: um front-end estático (React via CDN, sem etapa de build), um back-end FastAPI e um banco PostgreSQL. Existem dois modos de execução, e é fundamental não confundi-los: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Local (desenvolvimento):</w:t>
      </w:r>
      <w:r>
        <w:rPr>
          <w:color w:val="0A0A0A"/>
          <w:sz w:val="21"/>
        </w:rPr>
        <w:t xml:space="preserve"> back-end e front-end rodam como dois processos separados, em portas distintas (8000 e 5500). O script </w:t>
      </w:r>
      <w:r>
        <w:rPr>
          <w:rFonts w:ascii="Consolas" w:hAnsi="Consolas"/>
          <w:color w:val="1F1F1F"/>
          <w:sz w:val="19"/>
          <w:shd w:val="clear" w:fill="F2F2F2"/>
        </w:rPr>
        <w:t>run.py</w:t>
      </w:r>
      <w:r>
        <w:rPr>
          <w:color w:val="0A0A0A"/>
          <w:sz w:val="21"/>
        </w:rPr>
        <w:t xml:space="preserve"> automatiza essa configuração. Nesse modo, o navegador acessa o front-end em uma origem e a API em outra, o que torna o CORS obrigatório.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Produção (Azure App Service):</w:t>
      </w:r>
      <w:r>
        <w:rPr>
          <w:color w:val="0A0A0A"/>
          <w:sz w:val="21"/>
        </w:rPr>
        <w:t xml:space="preserve"> o próprio FastAPI serve o front-end estático, na mesma origem da API. O script </w:t>
      </w:r>
      <w:r>
        <w:rPr>
          <w:rFonts w:ascii="Consolas" w:hAnsi="Consolas"/>
          <w:color w:val="1F1F1F"/>
          <w:sz w:val="19"/>
          <w:shd w:val="clear" w:fill="F2F2F2"/>
        </w:rPr>
        <w:t>run.py</w:t>
      </w:r>
      <w:r>
        <w:rPr>
          <w:color w:val="0A0A0A"/>
          <w:sz w:val="21"/>
        </w:rPr>
        <w:t xml:space="preserve"> </w:t>
      </w:r>
      <w:r>
        <w:rPr>
          <w:b/>
          <w:color w:val="0A0A0A"/>
          <w:sz w:val="21"/>
        </w:rPr>
        <w:t>não</w:t>
      </w:r>
      <w:r>
        <w:rPr>
          <w:color w:val="0A0A0A"/>
          <w:sz w:val="21"/>
        </w:rPr>
        <w:t xml:space="preserve"> é executado em produção. Como front e back compartilham a origem, o CORS deixa de ser necessário nesse cenário.</w:t>
      </w:r>
    </w:p>
    <w:p>
      <w:pPr>
        <w:jc w:val="both"/>
      </w:pPr>
      <w:r>
        <w:rPr>
          <w:color w:val="0A0A0A"/>
          <w:sz w:val="21"/>
        </w:rPr>
        <w:t xml:space="preserve">A distinção está documentada no cabeçalho do próprio </w:t>
      </w:r>
      <w:r>
        <w:rPr>
          <w:rFonts w:ascii="Consolas" w:hAnsi="Consolas"/>
          <w:color w:val="1F1F1F"/>
          <w:sz w:val="19"/>
          <w:shd w:val="clear" w:fill="F2F2F2"/>
        </w:rPr>
        <w:t>run.py</w:t>
      </w:r>
      <w:r>
        <w:rPr>
          <w:color w:val="0A0A0A"/>
          <w:sz w:val="21"/>
        </w:rPr>
        <w:t xml:space="preserve"> e materializada em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, que serve a pasta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quando ela existe ao lado de 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2. Pré-requisitos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Detalhe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Python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Versão 3.11 ou superior (declarado 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pyproject.toml</w:t>
            </w:r>
            <w:r>
              <w:rPr>
                <w:color w:val="0A0A0A"/>
                <w:sz w:val="19"/>
              </w:rPr>
              <w:t xml:space="preserve">: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requires-python = "&gt;=3.11"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PostgreSQL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Banco com o esquema do CITO já aplicado: tabelas, views, gatilhos e funções (responsabilidade do grupo de Banco). O ambiente de referência usa PostgreSQL 17.6 no Supabase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Extensões do banco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pgcrypto</w:t>
            </w:r>
            <w:r>
              <w:rPr>
                <w:color w:val="0A0A0A"/>
                <w:sz w:val="19"/>
              </w:rPr>
              <w:t xml:space="preserve"> (cifragem e hash) 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pg_trgm</w:t>
            </w:r>
            <w:r>
              <w:rPr>
                <w:color w:val="0A0A0A"/>
                <w:sz w:val="19"/>
              </w:rPr>
              <w:t xml:space="preserve"> (busca por similaridade)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Navegador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Qualquer navegador moderno para servir e acessar o front-end</w:t>
            </w:r>
          </w:p>
        </w:tc>
      </w:tr>
    </w:tbl>
    <w:p>
      <w:pPr>
        <w:spacing w:before="80" w:after="160"/>
        <w:ind w:left="360"/>
        <w:pBdr>
          <w:left w:val="single" w:sz="18" w:space="8" w:color="1F1F1F"/>
        </w:pBdr>
      </w:pPr>
      <w:r>
        <w:rPr>
          <w:i/>
          <w:color w:val="5A5A5A"/>
          <w:sz w:val="21"/>
        </w:rPr>
        <w:t xml:space="preserve">O back-end depende de comportamentos do banco (gatilhos, defaults e grants) que não são verificáveis apenas por importação do código. Em especial, a view </w:t>
      </w:r>
      <w:r>
        <w:rPr>
          <w:rFonts w:ascii="Consolas" w:hAnsi="Consolas"/>
          <w:i/>
          <w:color w:val="1F1F1F"/>
          <w:sz w:val="19"/>
          <w:shd w:val="clear" w:fill="F2F2F2"/>
        </w:rPr>
        <w:t>avaliacoes</w:t>
      </w:r>
      <w:r>
        <w:rPr>
          <w:i/>
          <w:color w:val="5A5A5A"/>
          <w:sz w:val="21"/>
        </w:rPr>
        <w:t xml:space="preserve"> precisa expor a coluna calculada </w:t>
      </w:r>
      <w:r>
        <w:rPr>
          <w:rFonts w:ascii="Consolas" w:hAnsi="Consolas"/>
          <w:i/>
          <w:color w:val="1F1F1F"/>
          <w:sz w:val="19"/>
          <w:shd w:val="clear" w:fill="F2F2F2"/>
        </w:rPr>
        <w:t>recomenda_exame</w:t>
      </w:r>
      <w:r>
        <w:rPr>
          <w:i/>
          <w:color w:val="5A5A5A"/>
          <w:sz w:val="21"/>
        </w:rPr>
        <w:t>. A lista completa de suposições sobre o banco está na especificação de integração e deve ser validada no teste ponta a ponta.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3. Configuração de ambiente (.env)</w:t>
      </w:r>
    </w:p>
    <w:p>
      <w:pPr>
        <w:jc w:val="both"/>
      </w:pPr>
      <w:r>
        <w:rPr>
          <w:color w:val="0A0A0A"/>
          <w:sz w:val="21"/>
        </w:rPr>
        <w:t xml:space="preserve">A configuração é tipada e carregada de variáveis de ambiente ou de um arquivo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, por meio de </w:t>
      </w:r>
      <w:r>
        <w:rPr>
          <w:rFonts w:ascii="Consolas" w:hAnsi="Consolas"/>
          <w:color w:val="1F1F1F"/>
          <w:sz w:val="19"/>
          <w:shd w:val="clear" w:fill="F2F2F2"/>
        </w:rPr>
        <w:t>app/core/config.py</w:t>
      </w:r>
      <w:r>
        <w:rPr>
          <w:color w:val="0A0A0A"/>
          <w:sz w:val="21"/>
        </w:rPr>
        <w:t xml:space="preserve"> (Pydantic Settings). O repositório fornece um modelo em </w:t>
      </w:r>
      <w:r>
        <w:rPr>
          <w:rFonts w:ascii="Consolas" w:hAnsi="Consolas"/>
          <w:color w:val="1F1F1F"/>
          <w:sz w:val="19"/>
          <w:shd w:val="clear" w:fill="F2F2F2"/>
        </w:rPr>
        <w:t>.env.example</w:t>
      </w:r>
      <w:r>
        <w:rPr>
          <w:color w:val="0A0A0A"/>
          <w:sz w:val="21"/>
        </w:rPr>
        <w:t xml:space="preserve">; copie-o para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e ajuste os valores. O arquivo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</w:t>
      </w:r>
      <w:r>
        <w:rPr>
          <w:b/>
          <w:color w:val="0A0A0A"/>
          <w:sz w:val="21"/>
        </w:rPr>
        <w:t>nunca</w:t>
      </w:r>
      <w:r>
        <w:rPr>
          <w:color w:val="0A0A0A"/>
          <w:sz w:val="21"/>
        </w:rPr>
        <w:t xml:space="preserve"> deve ser versionado (já consta no </w:t>
      </w:r>
      <w:r>
        <w:rPr>
          <w:rFonts w:ascii="Consolas" w:hAnsi="Consolas"/>
          <w:color w:val="1F1F1F"/>
          <w:sz w:val="19"/>
          <w:shd w:val="clear" w:fill="F2F2F2"/>
        </w:rPr>
        <w:t>.gitignore</w:t>
      </w:r>
      <w:r>
        <w:rPr>
          <w:color w:val="0A0A0A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Atenção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APP_NAME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Nome exibido do aplicativo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Opcional (padrão "CITO Backend")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APP_VERSION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Versão do aplicativo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Opcional (padrão "0.1.0")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ENVIRONMENT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Ambiente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development</w:t>
            </w:r>
            <w:r>
              <w:rPr>
                <w:color w:val="0A0A0A"/>
                <w:sz w:val="19"/>
              </w:rPr>
              <w:t>/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production</w:t>
            </w:r>
            <w:r>
              <w:rPr>
                <w:color w:val="0A0A0A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Opcional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DEBUG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Liga/desliga modo de depuração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Opcional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API_PREFIX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Prefixo de todas as rotas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Padrão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/api/v1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SECRET_KEY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Assinatura do JWT (HS256)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b/>
                <w:color w:val="0A0A0A"/>
                <w:sz w:val="19"/>
              </w:rPr>
              <w:t>Obrigatória em produção.</w:t>
            </w:r>
            <w:r>
              <w:rPr>
                <w:color w:val="0A0A0A"/>
                <w:sz w:val="19"/>
              </w:rPr>
              <w:t xml:space="preserve"> Valor longo e aleatório (≥ 32 bytes). Mínimo de 8 caracteres validado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CORS_ORIGINS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Origens liberadas para o front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Necessária no modo local. Origem exata (esquema+host+porta), sem barra final. Aceita CSV ou JSON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DATABASE_URL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Conexão com o PostgreSQL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b/>
                <w:color w:val="0A0A0A"/>
                <w:sz w:val="19"/>
              </w:rPr>
              <w:t>Precisa do driver assíncrono</w:t>
            </w:r>
            <w:r>
              <w:rPr>
                <w:color w:val="0A0A0A"/>
                <w:sz w:val="19"/>
              </w:rPr>
              <w:t xml:space="preserve">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postgresql+asyncpg://...</w:t>
            </w:r>
            <w:r>
              <w:rPr>
                <w:color w:val="0A0A0A"/>
                <w:sz w:val="19"/>
              </w:rPr>
              <w:t>. Armazenada como segredo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PGP_KEY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Chave de cifragem usada pelas views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color w:val="0A0A0A"/>
                <w:sz w:val="19"/>
              </w:rPr>
              <w:t>A mesma</w:t>
            </w:r>
            <w:r>
              <w:rPr>
                <w:color w:val="0A0A0A"/>
                <w:sz w:val="19"/>
              </w:rPr>
              <w:t xml:space="preserve"> chave usada para cifrar os dados existentes. Armazenada como segredo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Para gerar um </w:t>
      </w:r>
      <w:r>
        <w:rPr>
          <w:rFonts w:ascii="Consolas" w:hAnsi="Consolas"/>
          <w:color w:val="1F1F1F"/>
          <w:sz w:val="19"/>
          <w:shd w:val="clear" w:fill="F2F2F2"/>
        </w:rPr>
        <w:t>SECRET_KEY</w:t>
      </w:r>
      <w:r>
        <w:rPr>
          <w:color w:val="0A0A0A"/>
          <w:sz w:val="21"/>
        </w:rPr>
        <w:t xml:space="preserve"> adequado: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python -c "import secrets; print(secrets.token_urlsafe(48))"</w:t>
      </w:r>
    </w:p>
    <w:p>
      <w:pPr>
        <w:jc w:val="both"/>
      </w:pPr>
      <w:r>
        <w:rPr>
          <w:color w:val="0A0A0A"/>
          <w:sz w:val="21"/>
        </w:rPr>
        <w:t xml:space="preserve">Exemplo de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para desenvolvimento local (baseado em </w:t>
      </w:r>
      <w:r>
        <w:rPr>
          <w:rFonts w:ascii="Consolas" w:hAnsi="Consolas"/>
          <w:color w:val="1F1F1F"/>
          <w:sz w:val="19"/>
          <w:shd w:val="clear" w:fill="F2F2F2"/>
        </w:rPr>
        <w:t>.env.example</w:t>
      </w:r>
      <w:r>
        <w:rPr>
          <w:color w:val="0A0A0A"/>
          <w:sz w:val="21"/>
        </w:rPr>
        <w:t>):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ENVIRONMENT=development</w:t>
        <w:br/>
        <w:t>DEBUG=true</w:t>
        <w:br/>
        <w:t>API_PREFIX=/api/v1</w:t>
        <w:br/>
        <w:t>SECRET_KEY=&lt;gerado-com-secrets.token_urlsafe&gt;</w:t>
        <w:br/>
        <w:t>CORS_ORIGINS=http://127.0.0.1:5500,http://localhost:5500</w:t>
        <w:br/>
        <w:t>DATABASE_URL='postgresql+asyncpg://USUARIO:SENHA@HOST:5432/cito'</w:t>
        <w:br/>
        <w:t>PGP_KEY='a-mesma-chave-usada-para-cifrar-os-dados'</w:t>
      </w:r>
    </w:p>
    <w:p>
      <w:pPr>
        <w:spacing w:before="80" w:after="160"/>
        <w:ind w:left="360"/>
        <w:pBdr>
          <w:left w:val="single" w:sz="18" w:space="8" w:color="1F1F1F"/>
        </w:pBdr>
      </w:pPr>
      <w:r>
        <w:rPr>
          <w:i/>
          <w:color w:val="5A5A5A"/>
          <w:sz w:val="21"/>
        </w:rPr>
        <w:t xml:space="preserve">Detalhe técnico: </w:t>
      </w:r>
      <w:r>
        <w:rPr>
          <w:rFonts w:ascii="Consolas" w:hAnsi="Consolas"/>
          <w:i/>
          <w:color w:val="1F1F1F"/>
          <w:sz w:val="19"/>
          <w:shd w:val="clear" w:fill="F2F2F2"/>
        </w:rPr>
        <w:t>CORS_ORIGINS</w:t>
      </w:r>
      <w:r>
        <w:rPr>
          <w:i/>
          <w:color w:val="5A5A5A"/>
          <w:sz w:val="21"/>
        </w:rPr>
        <w:t xml:space="preserve"> aceita tanto JSON (</w:t>
      </w:r>
      <w:r>
        <w:rPr>
          <w:rFonts w:ascii="Consolas" w:hAnsi="Consolas"/>
          <w:i/>
          <w:color w:val="1F1F1F"/>
          <w:sz w:val="19"/>
          <w:shd w:val="clear" w:fill="F2F2F2"/>
        </w:rPr>
        <w:t>["http://a","http://b"]</w:t>
      </w:r>
      <w:r>
        <w:rPr>
          <w:i/>
          <w:color w:val="5A5A5A"/>
          <w:sz w:val="21"/>
        </w:rPr>
        <w:t>) quanto CSV (</w:t>
      </w:r>
      <w:r>
        <w:rPr>
          <w:rFonts w:ascii="Consolas" w:hAnsi="Consolas"/>
          <w:i/>
          <w:color w:val="1F1F1F"/>
          <w:sz w:val="19"/>
          <w:shd w:val="clear" w:fill="F2F2F2"/>
        </w:rPr>
        <w:t>http://a,http://b</w:t>
      </w:r>
      <w:r>
        <w:rPr>
          <w:i/>
          <w:color w:val="5A5A5A"/>
          <w:sz w:val="21"/>
        </w:rPr>
        <w:t xml:space="preserve">); o parser de configuração trata ambos. Já </w:t>
      </w:r>
      <w:r>
        <w:rPr>
          <w:rFonts w:ascii="Consolas" w:hAnsi="Consolas"/>
          <w:i/>
          <w:color w:val="1F1F1F"/>
          <w:sz w:val="19"/>
          <w:shd w:val="clear" w:fill="F2F2F2"/>
        </w:rPr>
        <w:t>DATABASE_URL</w:t>
      </w:r>
      <w:r>
        <w:rPr>
          <w:i/>
          <w:color w:val="5A5A5A"/>
          <w:sz w:val="21"/>
        </w:rPr>
        <w:t xml:space="preserve"> e </w:t>
      </w:r>
      <w:r>
        <w:rPr>
          <w:rFonts w:ascii="Consolas" w:hAnsi="Consolas"/>
          <w:i/>
          <w:color w:val="1F1F1F"/>
          <w:sz w:val="19"/>
          <w:shd w:val="clear" w:fill="F2F2F2"/>
        </w:rPr>
        <w:t>PGP_KEY</w:t>
      </w:r>
      <w:r>
        <w:rPr>
          <w:i/>
          <w:color w:val="5A5A5A"/>
          <w:sz w:val="21"/>
        </w:rPr>
        <w:t xml:space="preserve"> são tratados como segredos (não vazam em log nem em </w:t>
      </w:r>
      <w:r>
        <w:rPr>
          <w:rFonts w:ascii="Consolas" w:hAnsi="Consolas"/>
          <w:i/>
          <w:color w:val="1F1F1F"/>
          <w:sz w:val="19"/>
          <w:shd w:val="clear" w:fill="F2F2F2"/>
        </w:rPr>
        <w:t>repr</w:t>
      </w:r>
      <w:r>
        <w:rPr>
          <w:i/>
          <w:color w:val="5A5A5A"/>
          <w:sz w:val="21"/>
        </w:rPr>
        <w:t xml:space="preserve">). O esquecimento da origem exata em </w:t>
      </w:r>
      <w:r>
        <w:rPr>
          <w:rFonts w:ascii="Consolas" w:hAnsi="Consolas"/>
          <w:i/>
          <w:color w:val="1F1F1F"/>
          <w:sz w:val="19"/>
          <w:shd w:val="clear" w:fill="F2F2F2"/>
        </w:rPr>
        <w:t>CORS_ORIGINS</w:t>
      </w:r>
      <w:r>
        <w:rPr>
          <w:i/>
          <w:color w:val="5A5A5A"/>
          <w:sz w:val="21"/>
        </w:rPr>
        <w:t xml:space="preserve"> é a causa número um de o front não funcionar mesmo com a API respondendo.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4. Setup local — caminho automatizado (recomendado)</w:t>
      </w:r>
    </w:p>
    <w:p>
      <w:pPr>
        <w:jc w:val="both"/>
      </w:pPr>
      <w:r>
        <w:rPr>
          <w:color w:val="0A0A0A"/>
          <w:sz w:val="21"/>
        </w:rPr>
        <w:t xml:space="preserve">O modo mais simples de subir tudo localmente é o script </w:t>
      </w:r>
      <w:r>
        <w:rPr>
          <w:rFonts w:ascii="Consolas" w:hAnsi="Consolas"/>
          <w:color w:val="1F1F1F"/>
          <w:sz w:val="19"/>
          <w:shd w:val="clear" w:fill="F2F2F2"/>
        </w:rPr>
        <w:t>run.py</w:t>
      </w:r>
      <w:r>
        <w:rPr>
          <w:color w:val="0A0A0A"/>
          <w:sz w:val="21"/>
        </w:rPr>
        <w:t xml:space="preserve">, que cuida de todo o ciclo: verifica a versão do Python, cria e repara o ambiente virtual </w:t>
      </w:r>
      <w:r>
        <w:rPr>
          <w:rFonts w:ascii="Consolas" w:hAnsi="Consolas"/>
          <w:color w:val="1F1F1F"/>
          <w:sz w:val="19"/>
          <w:shd w:val="clear" w:fill="F2F2F2"/>
        </w:rPr>
        <w:t>.venv</w:t>
      </w:r>
      <w:r>
        <w:rPr>
          <w:color w:val="0A0A0A"/>
          <w:sz w:val="21"/>
        </w:rPr>
        <w:t xml:space="preserve">, instala as dependências do </w:t>
      </w:r>
      <w:r>
        <w:rPr>
          <w:rFonts w:ascii="Consolas" w:hAnsi="Consolas"/>
          <w:color w:val="1F1F1F"/>
          <w:sz w:val="19"/>
          <w:shd w:val="clear" w:fill="F2F2F2"/>
        </w:rPr>
        <w:t>pyproject.toml</w:t>
      </w:r>
      <w:r>
        <w:rPr>
          <w:color w:val="0A0A0A"/>
          <w:sz w:val="21"/>
        </w:rPr>
        <w:t xml:space="preserve">, cria 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a partir do </w:t>
      </w:r>
      <w:r>
        <w:rPr>
          <w:rFonts w:ascii="Consolas" w:hAnsi="Consolas"/>
          <w:color w:val="1F1F1F"/>
          <w:sz w:val="19"/>
          <w:shd w:val="clear" w:fill="F2F2F2"/>
        </w:rPr>
        <w:t>.env.example</w:t>
      </w:r>
      <w:r>
        <w:rPr>
          <w:color w:val="0A0A0A"/>
          <w:sz w:val="21"/>
        </w:rPr>
        <w:t xml:space="preserve"> (se necessário) e sobe os dois servidores, abrindo o navegador ao final.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cd CITO</w:t>
        <w:br/>
        <w:t>python run.py</w:t>
      </w:r>
    </w:p>
    <w:p>
      <w:pPr>
        <w:jc w:val="both"/>
      </w:pPr>
      <w:r>
        <w:rPr>
          <w:color w:val="0A0A0A"/>
          <w:sz w:val="21"/>
        </w:rPr>
        <w:t>O que ele faz, em ordem: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1. </w:t>
      </w:r>
      <w:r>
        <w:rPr>
          <w:color w:val="0A0A0A"/>
          <w:sz w:val="21"/>
        </w:rPr>
        <w:t>Verifica Python ≥ 3.11 (encerra com mensagem se for inferior).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2. </w:t>
      </w:r>
      <w:r>
        <w:rPr>
          <w:color w:val="0A0A0A"/>
          <w:sz w:val="21"/>
        </w:rPr>
        <w:t xml:space="preserve">Cria ou repara o ambiente virtual em </w:t>
      </w:r>
      <w:r>
        <w:rPr>
          <w:rFonts w:ascii="Consolas" w:hAnsi="Consolas"/>
          <w:color w:val="1F1F1F"/>
          <w:sz w:val="19"/>
          <w:shd w:val="clear" w:fill="F2F2F2"/>
        </w:rPr>
        <w:t>.venv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3. </w:t>
      </w:r>
      <w:r>
        <w:rPr>
          <w:color w:val="0A0A0A"/>
          <w:sz w:val="21"/>
        </w:rPr>
        <w:t xml:space="preserve">Atualiza o </w:t>
      </w:r>
      <w:r>
        <w:rPr>
          <w:rFonts w:ascii="Consolas" w:hAnsi="Consolas"/>
          <w:color w:val="1F1F1F"/>
          <w:sz w:val="19"/>
          <w:shd w:val="clear" w:fill="F2F2F2"/>
        </w:rPr>
        <w:t>pip</w:t>
      </w:r>
      <w:r>
        <w:rPr>
          <w:color w:val="0A0A0A"/>
          <w:sz w:val="21"/>
        </w:rPr>
        <w:t xml:space="preserve"> e instala as dependências com </w:t>
      </w:r>
      <w:r>
        <w:rPr>
          <w:rFonts w:ascii="Consolas" w:hAnsi="Consolas"/>
          <w:color w:val="1F1F1F"/>
          <w:sz w:val="19"/>
          <w:shd w:val="clear" w:fill="F2F2F2"/>
        </w:rPr>
        <w:t>pip install -e .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4. </w:t>
      </w:r>
      <w:r>
        <w:rPr>
          <w:color w:val="0A0A0A"/>
          <w:sz w:val="21"/>
        </w:rPr>
        <w:t xml:space="preserve">Cria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a partir de </w:t>
      </w:r>
      <w:r>
        <w:rPr>
          <w:rFonts w:ascii="Consolas" w:hAnsi="Consolas"/>
          <w:color w:val="1F1F1F"/>
          <w:sz w:val="19"/>
          <w:shd w:val="clear" w:fill="F2F2F2"/>
        </w:rPr>
        <w:t>.env.example</w:t>
      </w:r>
      <w:r>
        <w:rPr>
          <w:color w:val="0A0A0A"/>
          <w:sz w:val="21"/>
        </w:rPr>
        <w:t xml:space="preserve">, se ainda não existir — e avisa para configurar </w:t>
      </w:r>
      <w:r>
        <w:rPr>
          <w:rFonts w:ascii="Consolas" w:hAnsi="Consolas"/>
          <w:color w:val="1F1F1F"/>
          <w:sz w:val="19"/>
          <w:shd w:val="clear" w:fill="F2F2F2"/>
        </w:rPr>
        <w:t>DATABASE_URL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PGP_KEY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SECRET_KEY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CORS_ORIGINS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5. </w:t>
      </w:r>
      <w:r>
        <w:rPr>
          <w:color w:val="0A0A0A"/>
          <w:sz w:val="21"/>
        </w:rPr>
        <w:t xml:space="preserve">Sobe a API (Uvicorn) na porta 8000 e o front-end estático na porta 5500, e abre </w:t>
      </w:r>
      <w:r>
        <w:rPr>
          <w:rFonts w:ascii="Consolas" w:hAnsi="Consolas"/>
          <w:color w:val="1F1F1F"/>
          <w:sz w:val="19"/>
          <w:shd w:val="clear" w:fill="F2F2F2"/>
        </w:rPr>
        <w:t>http://127.0.0.1:5500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color w:val="0A0A0A"/>
          <w:sz w:val="21"/>
        </w:rPr>
        <w:t>Encerre os dois processos com Ctrl+C — eles são finalizados juntos.</w:t>
      </w:r>
    </w:p>
    <w:p>
      <w:pPr>
        <w:spacing w:before="80" w:after="160"/>
        <w:ind w:left="360"/>
        <w:pBdr>
          <w:left w:val="single" w:sz="18" w:space="8" w:color="1F1F1F"/>
        </w:pBdr>
      </w:pPr>
      <w:r>
        <w:rPr>
          <w:i/>
          <w:color w:val="5A5A5A"/>
          <w:sz w:val="21"/>
        </w:rPr>
        <w:t xml:space="preserve">Atenção: na primeira execução o </w:t>
      </w:r>
      <w:r>
        <w:rPr>
          <w:rFonts w:ascii="Consolas" w:hAnsi="Consolas"/>
          <w:i/>
          <w:color w:val="1F1F1F"/>
          <w:sz w:val="19"/>
          <w:shd w:val="clear" w:fill="F2F2F2"/>
        </w:rPr>
        <w:t>.env</w:t>
      </w:r>
      <w:r>
        <w:rPr>
          <w:i/>
          <w:color w:val="5A5A5A"/>
          <w:sz w:val="21"/>
        </w:rPr>
        <w:t xml:space="preserve"> é criado com valores padrão (de exemplo). É necessário editá-lo com os valores reais do banco e dos segredos antes que o login e as telas que dependem de dados funcionem.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5. Setup local — caminho manual</w:t>
      </w:r>
    </w:p>
    <w:p>
      <w:pPr>
        <w:jc w:val="both"/>
      </w:pPr>
      <w:r>
        <w:rPr>
          <w:color w:val="0A0A0A"/>
          <w:sz w:val="21"/>
        </w:rPr>
        <w:t>Caso prefira controlar cada etapa, ou esteja em um ambiente onde o script automatizado não se aplique, siga os passos abaixo.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5.1 Back-end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cd CITO</w:t>
        <w:br/>
        <w:br/>
        <w:t># ambiente virtual + dependencias</w:t>
        <w:br/>
        <w:t>python -m venv .venv</w:t>
        <w:br/>
        <w:t>source .venv/bin/activate        # no Windows: .venv\Scripts\activate</w:t>
        <w:br/>
        <w:t>pip install -e .                 # usa as dependencias do pyproject.toml</w:t>
        <w:br/>
        <w:br/>
        <w:t># configuracao</w:t>
        <w:br/>
        <w:t>cp .env.example .env             # depois edite o .env</w:t>
        <w:br/>
        <w:br/>
        <w:t># subir a API</w:t>
        <w:br/>
        <w:t>uvicorn app.main:app --reload --port 8000</w:t>
      </w:r>
    </w:p>
    <w:p>
      <w:pPr>
        <w:jc w:val="both"/>
      </w:pPr>
      <w:r>
        <w:rPr>
          <w:color w:val="0A0A0A"/>
          <w:sz w:val="21"/>
        </w:rPr>
        <w:t>Verificações rápidas que dispensam o banco no ar (o asyncpg conecta de forma preguiçosa):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# valida imports, schemas e wiring de rotas</w:t>
        <w:br/>
        <w:t>python -c "import app.main"</w:t>
        <w:br/>
        <w:br/>
        <w:t># guarda de contrato front&lt;-&gt;back (rotas + payloads)</w:t>
        <w:br/>
        <w:t>python scripts/check_contract.py</w:t>
      </w:r>
    </w:p>
    <w:p>
      <w:pPr>
        <w:jc w:val="both"/>
      </w:pPr>
      <w:r>
        <w:rPr>
          <w:color w:val="0A0A0A"/>
          <w:sz w:val="21"/>
        </w:rPr>
        <w:t>O segundo comando confere, de forma estática, que todo endpoint consumido pelo front existe no back e que os payloads do front validam contra os schemas. Saída com código 0 indica contrato íntegro. Rode-o sempre que mexer em rotas ou campos.</w:t>
      </w:r>
    </w:p>
    <w:p>
      <w:pPr>
        <w:jc w:val="both"/>
      </w:pPr>
      <w:r>
        <w:rPr>
          <w:color w:val="0A0A0A"/>
          <w:sz w:val="21"/>
        </w:rPr>
        <w:t>Com a API no ar, verifique: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Saúde: </w:t>
      </w:r>
      <w:r>
        <w:rPr>
          <w:rFonts w:ascii="Consolas" w:hAnsi="Consolas"/>
          <w:color w:val="1F1F1F"/>
          <w:sz w:val="19"/>
          <w:shd w:val="clear" w:fill="F2F2F2"/>
        </w:rPr>
        <w:t>GET http://localhost:8000/health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Documentação interativa: </w:t>
      </w:r>
      <w:r>
        <w:rPr>
          <w:rFonts w:ascii="Consolas" w:hAnsi="Consolas"/>
          <w:color w:val="1F1F1F"/>
          <w:sz w:val="19"/>
          <w:shd w:val="clear" w:fill="F2F2F2"/>
        </w:rPr>
        <w:t>http://localhost:8000/api/v1/docs</w:t>
      </w:r>
      <w:r>
        <w:rPr>
          <w:color w:val="0A0A0A"/>
          <w:sz w:val="21"/>
        </w:rPr>
        <w:t xml:space="preserve"> (Swagger) e </w:t>
      </w:r>
      <w:r>
        <w:rPr>
          <w:rFonts w:ascii="Consolas" w:hAnsi="Consolas"/>
          <w:color w:val="1F1F1F"/>
          <w:sz w:val="19"/>
          <w:shd w:val="clear" w:fill="F2F2F2"/>
        </w:rPr>
        <w:t>/api/v1/redoc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5.2 Front-end</w:t>
      </w:r>
    </w:p>
    <w:p>
      <w:pPr>
        <w:jc w:val="both"/>
      </w:pPr>
      <w:r>
        <w:rPr>
          <w:color w:val="0A0A0A"/>
          <w:sz w:val="21"/>
        </w:rPr>
        <w:t xml:space="preserve">O front é estático, sem build. Sirva a pasta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por HTTP (não abra via </w:t>
      </w:r>
      <w:r>
        <w:rPr>
          <w:rFonts w:ascii="Consolas" w:hAnsi="Consolas"/>
          <w:color w:val="1F1F1F"/>
          <w:sz w:val="19"/>
          <w:shd w:val="clear" w:fill="F2F2F2"/>
        </w:rPr>
        <w:t>file://</w:t>
      </w:r>
      <w:r>
        <w:rPr>
          <w:color w:val="0A0A0A"/>
          <w:sz w:val="21"/>
        </w:rPr>
        <w:t>, pois o CORS não funciona com esse esquema):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cd CITO/frontend</w:t>
        <w:br/>
        <w:t>python -m http.server 5500 --bind 127.0.0.1   # -&gt; http://127.0.0.1:5500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A URL base da API tem valor padrão </w:t>
      </w:r>
      <w:r>
        <w:rPr>
          <w:rFonts w:ascii="Consolas" w:hAnsi="Consolas"/>
          <w:color w:val="1F1F1F"/>
          <w:sz w:val="19"/>
          <w:shd w:val="clear" w:fill="F2F2F2"/>
        </w:rPr>
        <w:t>'/api/v1'</w:t>
      </w:r>
      <w:r>
        <w:rPr>
          <w:color w:val="0A0A0A"/>
          <w:sz w:val="21"/>
        </w:rPr>
        <w:t xml:space="preserve">. Para apontar a outro host, defina </w:t>
      </w:r>
      <w:r>
        <w:rPr>
          <w:rFonts w:ascii="Consolas" w:hAnsi="Consolas"/>
          <w:color w:val="1F1F1F"/>
          <w:sz w:val="19"/>
          <w:shd w:val="clear" w:fill="F2F2F2"/>
        </w:rPr>
        <w:t>window.CITO_API_BASE</w:t>
      </w:r>
      <w:r>
        <w:rPr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, antes do carregamento de </w:t>
      </w:r>
      <w:r>
        <w:rPr>
          <w:rFonts w:ascii="Consolas" w:hAnsi="Consolas"/>
          <w:color w:val="1F1F1F"/>
          <w:sz w:val="19"/>
          <w:shd w:val="clear" w:fill="F2F2F2"/>
        </w:rPr>
        <w:t>src/api/client.js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A origem onde o front é servido (por exemplo, </w:t>
      </w:r>
      <w:r>
        <w:rPr>
          <w:rFonts w:ascii="Consolas" w:hAnsi="Consolas"/>
          <w:color w:val="1F1F1F"/>
          <w:sz w:val="19"/>
          <w:shd w:val="clear" w:fill="F2F2F2"/>
        </w:rPr>
        <w:t>http://127.0.0.1:5500</w:t>
      </w:r>
      <w:r>
        <w:rPr>
          <w:color w:val="0A0A0A"/>
          <w:sz w:val="21"/>
        </w:rPr>
        <w:t xml:space="preserve">) </w:t>
      </w:r>
      <w:r>
        <w:rPr>
          <w:b/>
          <w:color w:val="0A0A0A"/>
          <w:sz w:val="21"/>
        </w:rPr>
        <w:t>precisa</w:t>
      </w:r>
      <w:r>
        <w:rPr>
          <w:color w:val="0A0A0A"/>
          <w:sz w:val="21"/>
        </w:rPr>
        <w:t xml:space="preserve"> constar em </w:t>
      </w:r>
      <w:r>
        <w:rPr>
          <w:rFonts w:ascii="Consolas" w:hAnsi="Consolas"/>
          <w:color w:val="1F1F1F"/>
          <w:sz w:val="19"/>
          <w:shd w:val="clear" w:fill="F2F2F2"/>
        </w:rPr>
        <w:t>CORS_ORIGINS</w:t>
      </w:r>
      <w:r>
        <w:rPr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do back. Sem isso, o navegador bloqueia todas as chamadas.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6. Dependências do projeto</w:t>
      </w:r>
    </w:p>
    <w:p>
      <w:pPr>
        <w:jc w:val="both"/>
      </w:pPr>
      <w:r>
        <w:rPr>
          <w:color w:val="0A0A0A"/>
          <w:sz w:val="21"/>
        </w:rPr>
        <w:t xml:space="preserve">As dependências de produção do back-end estão declaradas em </w:t>
      </w:r>
      <w:r>
        <w:rPr>
          <w:rFonts w:ascii="Consolas" w:hAnsi="Consolas"/>
          <w:color w:val="1F1F1F"/>
          <w:sz w:val="19"/>
          <w:shd w:val="clear" w:fill="F2F2F2"/>
        </w:rPr>
        <w:t>pyproject.toml</w:t>
      </w:r>
      <w:r>
        <w:rPr>
          <w:color w:val="0A0A0A"/>
          <w:sz w:val="21"/>
        </w:rPr>
        <w:t xml:space="preserve"> (e espelhadas em </w:t>
      </w:r>
      <w:r>
        <w:rPr>
          <w:rFonts w:ascii="Consolas" w:hAnsi="Consolas"/>
          <w:color w:val="1F1F1F"/>
          <w:sz w:val="19"/>
          <w:shd w:val="clear" w:fill="F2F2F2"/>
        </w:rPr>
        <w:t>requirements.txt</w:t>
      </w:r>
      <w:r>
        <w:rPr>
          <w:color w:val="0A0A0A"/>
          <w:sz w:val="21"/>
        </w:rPr>
        <w:t>, usado pela implantação no Azure).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Pacote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fastapi</w:t>
            </w:r>
            <w:r>
              <w:rPr>
                <w:color w:val="0A0A0A"/>
                <w:sz w:val="19"/>
              </w:rPr>
              <w:t xml:space="preserve"> (≥ 0.115)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Framework web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uvicorn[standard]</w:t>
            </w:r>
            <w:r>
              <w:rPr>
                <w:color w:val="0A0A0A"/>
                <w:sz w:val="19"/>
              </w:rPr>
              <w:t xml:space="preserve"> (≥ 0.32)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Servidor ASGI (desenvolvimento)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gunicorn</w:t>
            </w:r>
            <w:r>
              <w:rPr>
                <w:color w:val="0A0A0A"/>
                <w:sz w:val="19"/>
              </w:rPr>
              <w:t xml:space="preserve"> (≥ 22)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Servidor de produção (presente 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requirements.txt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pydantic</w:t>
            </w:r>
            <w:r>
              <w:rPr>
                <w:color w:val="0A0A0A"/>
                <w:sz w:val="19"/>
              </w:rPr>
              <w:t xml:space="preserve"> (≥ 2.9) +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pydantic-settings</w:t>
            </w:r>
            <w:r>
              <w:rPr>
                <w:color w:val="0A0A0A"/>
                <w:sz w:val="19"/>
              </w:rPr>
              <w:t xml:space="preserve"> (≥ 2.6)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Validação, serialização e configuração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sqlalchemy[asyncio]</w:t>
            </w:r>
            <w:r>
              <w:rPr>
                <w:color w:val="0A0A0A"/>
                <w:sz w:val="19"/>
              </w:rPr>
              <w:t xml:space="preserve"> (≥ 2.0)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ORM/Core em modo assíncrono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asyncpg</w:t>
            </w:r>
            <w:r>
              <w:rPr>
                <w:color w:val="0A0A0A"/>
                <w:sz w:val="19"/>
              </w:rPr>
              <w:t xml:space="preserve"> (≥ 0.30)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Driver PostgreSQL assíncrono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python-multipart</w:t>
            </w:r>
            <w:r>
              <w:rPr>
                <w:color w:val="0A0A0A"/>
                <w:sz w:val="19"/>
              </w:rPr>
              <w:t xml:space="preserve"> (≥ 0.0.12)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Suporte a formulários (login OAuth2)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As dependências de desenvolvimento (opcionais) incluem </w:t>
      </w:r>
      <w:r>
        <w:rPr>
          <w:rFonts w:ascii="Consolas" w:hAnsi="Consolas"/>
          <w:color w:val="1F1F1F"/>
          <w:sz w:val="19"/>
          <w:shd w:val="clear" w:fill="F2F2F2"/>
        </w:rPr>
        <w:t>pytest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pytest-asyncio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httpx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ruff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mypy</w:t>
      </w:r>
      <w:r>
        <w:rPr>
          <w:color w:val="0A0A0A"/>
          <w:sz w:val="21"/>
        </w:rPr>
        <w:t xml:space="preserve">, declaradas no grupo </w:t>
      </w:r>
      <w:r>
        <w:rPr>
          <w:rFonts w:ascii="Consolas" w:hAnsi="Consolas"/>
          <w:color w:val="1F1F1F"/>
          <w:sz w:val="19"/>
          <w:shd w:val="clear" w:fill="F2F2F2"/>
        </w:rPr>
        <w:t>[project.optional-dependencies].dev</w:t>
      </w:r>
      <w:r>
        <w:rPr>
          <w:color w:val="0A0A0A"/>
          <w:sz w:val="21"/>
        </w:rPr>
        <w:t xml:space="preserve"> do </w:t>
      </w:r>
      <w:r>
        <w:rPr>
          <w:rFonts w:ascii="Consolas" w:hAnsi="Consolas"/>
          <w:color w:val="1F1F1F"/>
          <w:sz w:val="19"/>
          <w:shd w:val="clear" w:fill="F2F2F2"/>
        </w:rPr>
        <w:t>pyproject.toml</w:t>
      </w:r>
      <w:r>
        <w:rPr>
          <w:color w:val="0A0A0A"/>
          <w:sz w:val="21"/>
        </w:rPr>
        <w:t xml:space="preserve">. O front-end não possui dependências instaláveis: React, Babel, Tailwind, jsPDF e fontes são carregados por CDN no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7. Implantação em produção (Azure App Service)</w:t>
      </w:r>
    </w:p>
    <w:p>
      <w:pPr>
        <w:jc w:val="both"/>
      </w:pPr>
      <w:r>
        <w:rPr>
          <w:color w:val="0A0A0A"/>
          <w:sz w:val="21"/>
        </w:rPr>
        <w:t>Em produção, a aplicação é implantada como um único serviço no Azure App Service, no qual o FastAPI serve tanto a API quanto o front-end estático.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7.1 Como o front-end é servido pelo back-end</w:t>
      </w:r>
    </w:p>
    <w:p>
      <w:pPr>
        <w:jc w:val="both"/>
      </w:pPr>
      <w:r>
        <w:rPr>
          <w:color w:val="0A0A0A"/>
          <w:sz w:val="21"/>
        </w:rPr>
        <w:t xml:space="preserve">Em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, quando a pasta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>, são registradas duas rotas: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A rota raiz (</w:t>
      </w:r>
      <w:r>
        <w:rPr>
          <w:rFonts w:ascii="Consolas" w:hAnsi="Consolas"/>
          <w:color w:val="1F1F1F"/>
          <w:sz w:val="19"/>
          <w:shd w:val="clear" w:fill="F2F2F2"/>
        </w:rPr>
        <w:t>GET /</w:t>
      </w:r>
      <w:r>
        <w:rPr>
          <w:color w:val="0A0A0A"/>
          <w:sz w:val="21"/>
        </w:rPr>
        <w:t xml:space="preserve">) devolve o </w:t>
      </w:r>
      <w:r>
        <w:rPr>
          <w:rFonts w:ascii="Consolas" w:hAnsi="Consolas"/>
          <w:color w:val="1F1F1F"/>
          <w:sz w:val="19"/>
          <w:shd w:val="clear" w:fill="F2F2F2"/>
        </w:rPr>
        <w:t>frontend/index.html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Uma rota *catch-all* (</w:t>
      </w:r>
      <w:r>
        <w:rPr>
          <w:rFonts w:ascii="Consolas" w:hAnsi="Consolas"/>
          <w:color w:val="1F1F1F"/>
          <w:sz w:val="19"/>
          <w:shd w:val="clear" w:fill="F2F2F2"/>
        </w:rPr>
        <w:t>GET /{full_path:path}</w:t>
      </w:r>
      <w:r>
        <w:rPr>
          <w:color w:val="0A0A0A"/>
          <w:sz w:val="21"/>
        </w:rPr>
        <w:t xml:space="preserve">) devolve o arquivo solicitado (CSS, JS, imagens) quando ele existe, ou 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 caso contrário.</w:t>
      </w:r>
    </w:p>
    <w:p>
      <w:pPr>
        <w:jc w:val="both"/>
      </w:pPr>
      <w:r>
        <w:rPr>
          <w:color w:val="0A0A0A"/>
          <w:sz w:val="21"/>
        </w:rPr>
        <w:t xml:space="preserve">Como front e API ficam na mesma origem, o cliente de API usa a base padrão </w:t>
      </w:r>
      <w:r>
        <w:rPr>
          <w:rFonts w:ascii="Consolas" w:hAnsi="Consolas"/>
          <w:color w:val="1F1F1F"/>
          <w:sz w:val="19"/>
          <w:shd w:val="clear" w:fill="F2F2F2"/>
        </w:rPr>
        <w:t>'/api/v1'</w:t>
      </w:r>
      <w:r>
        <w:rPr>
          <w:color w:val="0A0A0A"/>
          <w:sz w:val="21"/>
        </w:rPr>
        <w:t xml:space="preserve"> e não há necessidade de configurar </w:t>
      </w:r>
      <w:r>
        <w:rPr>
          <w:rFonts w:ascii="Consolas" w:hAnsi="Consolas"/>
          <w:color w:val="1F1F1F"/>
          <w:sz w:val="19"/>
          <w:shd w:val="clear" w:fill="F2F2F2"/>
        </w:rPr>
        <w:t>CORS_ORIGINS</w:t>
      </w:r>
      <w:r>
        <w:rPr>
          <w:color w:val="0A0A0A"/>
          <w:sz w:val="21"/>
        </w:rPr>
        <w:t xml:space="preserve"> para o front nesse cenário.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7.2 Build durante a implantação</w:t>
      </w:r>
    </w:p>
    <w:p>
      <w:pPr>
        <w:jc w:val="both"/>
      </w:pPr>
      <w:r>
        <w:rPr>
          <w:color w:val="0A0A0A"/>
          <w:sz w:val="21"/>
        </w:rPr>
        <w:t xml:space="preserve">O repositório inclui o arquivo </w:t>
      </w:r>
      <w:r>
        <w:rPr>
          <w:rFonts w:ascii="Consolas" w:hAnsi="Consolas"/>
          <w:color w:val="1F1F1F"/>
          <w:sz w:val="19"/>
          <w:shd w:val="clear" w:fill="F2F2F2"/>
        </w:rPr>
        <w:t>.deployment</w:t>
      </w:r>
      <w:r>
        <w:rPr>
          <w:color w:val="0A0A0A"/>
          <w:sz w:val="21"/>
        </w:rPr>
        <w:t>, que ativa o build do lado do Azure: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[config]</w:t>
        <w:br/>
        <w:t>SCM_DO_BUILD_DURING_DEPLOYMENT=true</w:t>
      </w:r>
    </w:p>
    <w:p>
      <w:pPr>
        <w:jc w:val="both"/>
      </w:pPr>
      <w:r>
        <w:rPr>
          <w:color w:val="0A0A0A"/>
          <w:sz w:val="21"/>
        </w:rPr>
        <w:t xml:space="preserve">Com essa opção, o Oryx (mecanismo de build do App Service) instala as dependências de </w:t>
      </w:r>
      <w:r>
        <w:rPr>
          <w:rFonts w:ascii="Consolas" w:hAnsi="Consolas"/>
          <w:color w:val="1F1F1F"/>
          <w:sz w:val="19"/>
          <w:shd w:val="clear" w:fill="F2F2F2"/>
        </w:rPr>
        <w:t>requirements.txt</w:t>
      </w:r>
      <w:r>
        <w:rPr>
          <w:color w:val="0A0A0A"/>
          <w:sz w:val="21"/>
        </w:rPr>
        <w:t xml:space="preserve"> durante a publicação. Por isso o </w:t>
      </w:r>
      <w:r>
        <w:rPr>
          <w:rFonts w:ascii="Consolas" w:hAnsi="Consolas"/>
          <w:color w:val="1F1F1F"/>
          <w:sz w:val="19"/>
          <w:shd w:val="clear" w:fill="F2F2F2"/>
        </w:rPr>
        <w:t>gunicorn</w:t>
      </w:r>
      <w:r>
        <w:rPr>
          <w:color w:val="0A0A0A"/>
          <w:sz w:val="21"/>
        </w:rPr>
        <w:t xml:space="preserve"> está presente em </w:t>
      </w:r>
      <w:r>
        <w:rPr>
          <w:rFonts w:ascii="Consolas" w:hAnsi="Consolas"/>
          <w:color w:val="1F1F1F"/>
          <w:sz w:val="19"/>
          <w:shd w:val="clear" w:fill="F2F2F2"/>
        </w:rPr>
        <w:t>requirements.txt</w:t>
      </w:r>
      <w:r>
        <w:rPr>
          <w:color w:val="0A0A0A"/>
          <w:sz w:val="21"/>
        </w:rPr>
        <w:t>: ele é o servidor de produção.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7.3 Comando de inicialização (Startup Command)</w:t>
      </w:r>
    </w:p>
    <w:p>
      <w:pPr>
        <w:jc w:val="both"/>
      </w:pPr>
      <w:r>
        <w:rPr>
          <w:color w:val="0A0A0A"/>
          <w:sz w:val="21"/>
        </w:rPr>
        <w:t xml:space="preserve">Em produção, o Azure invoca o servidor diretamente — o </w:t>
      </w:r>
      <w:r>
        <w:rPr>
          <w:rFonts w:ascii="Consolas" w:hAnsi="Consolas"/>
          <w:color w:val="1F1F1F"/>
          <w:sz w:val="19"/>
          <w:shd w:val="clear" w:fill="F2F2F2"/>
        </w:rPr>
        <w:t>run.py</w:t>
      </w:r>
      <w:r>
        <w:rPr>
          <w:color w:val="0A0A0A"/>
          <w:sz w:val="21"/>
        </w:rPr>
        <w:t xml:space="preserve"> não participa. O objeto ASGI exportado é </w:t>
      </w:r>
      <w:r>
        <w:rPr>
          <w:rFonts w:ascii="Consolas" w:hAnsi="Consolas"/>
          <w:color w:val="1F1F1F"/>
          <w:sz w:val="19"/>
          <w:shd w:val="clear" w:fill="F2F2F2"/>
        </w:rPr>
        <w:t>app</w:t>
      </w:r>
      <w:r>
        <w:rPr>
          <w:color w:val="0A0A0A"/>
          <w:sz w:val="21"/>
        </w:rPr>
        <w:t xml:space="preserve">, em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uvicorn app.main:app</w:t>
      </w:r>
      <w:r>
        <w:rPr>
          <w:color w:val="0A0A0A"/>
          <w:sz w:val="21"/>
        </w:rPr>
        <w:t xml:space="preserve"> localmente). No App Service, configura-se um Startup Command que sobe a aplicação por meio do Gunicorn com workers Uvicorn, no padrão recomendado para FastAPI: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gunicorn -w 4 -k uvicorn.workers.UvicornWorker app.main:app</w:t>
      </w:r>
    </w:p>
    <w:p>
      <w:pPr>
        <w:jc w:val="both"/>
      </w:pPr>
      <w:r>
        <w:rPr>
          <w:color w:val="0A0A0A"/>
          <w:sz w:val="21"/>
        </w:rPr>
        <w:t xml:space="preserve">O App Service expõe a aplicação na porta interna padrão; o Gunicorn deve escutar nessa porta (no Linux App Service, normalmente a variável </w:t>
      </w:r>
      <w:r>
        <w:rPr>
          <w:rFonts w:ascii="Consolas" w:hAnsi="Consolas"/>
          <w:color w:val="1F1F1F"/>
          <w:sz w:val="19"/>
          <w:shd w:val="clear" w:fill="F2F2F2"/>
        </w:rPr>
        <w:t>PORT</w:t>
      </w:r>
      <w:r>
        <w:rPr>
          <w:color w:val="0A0A0A"/>
          <w:sz w:val="21"/>
        </w:rPr>
        <w:t xml:space="preserve"> informada pelo ambiente). O número de *workers* deve ser ajustado ao plano de hospedagem.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7.4 Variáveis de ambiente em produção</w:t>
      </w:r>
    </w:p>
    <w:p>
      <w:pPr>
        <w:jc w:val="both"/>
      </w:pPr>
      <w:r>
        <w:rPr>
          <w:color w:val="0A0A0A"/>
          <w:sz w:val="21"/>
        </w:rPr>
        <w:t xml:space="preserve">No App Service, defina as configurações da aplicação (App Settings) com os mesmos nomes do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, no mínimo: </w:t>
      </w:r>
      <w:r>
        <w:rPr>
          <w:rFonts w:ascii="Consolas" w:hAnsi="Consolas"/>
          <w:color w:val="1F1F1F"/>
          <w:sz w:val="19"/>
          <w:shd w:val="clear" w:fill="F2F2F2"/>
        </w:rPr>
        <w:t>SECRET_KEY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DATABASE_URL</w:t>
      </w:r>
      <w:r>
        <w:rPr>
          <w:color w:val="0A0A0A"/>
          <w:sz w:val="21"/>
        </w:rPr>
        <w:t xml:space="preserve"> (com o driver </w:t>
      </w:r>
      <w:r>
        <w:rPr>
          <w:rFonts w:ascii="Consolas" w:hAnsi="Consolas"/>
          <w:color w:val="1F1F1F"/>
          <w:sz w:val="19"/>
          <w:shd w:val="clear" w:fill="F2F2F2"/>
        </w:rPr>
        <w:t>postgresql+asyncpg://</w:t>
      </w:r>
      <w:r>
        <w:rPr>
          <w:color w:val="0A0A0A"/>
          <w:sz w:val="21"/>
        </w:rPr>
        <w:t xml:space="preserve">), </w:t>
      </w:r>
      <w:r>
        <w:rPr>
          <w:rFonts w:ascii="Consolas" w:hAnsi="Consolas"/>
          <w:color w:val="1F1F1F"/>
          <w:sz w:val="19"/>
          <w:shd w:val="clear" w:fill="F2F2F2"/>
        </w:rPr>
        <w:t>PGP_KEY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ENVIRONMENT=production</w:t>
      </w:r>
      <w:r>
        <w:rPr>
          <w:color w:val="0A0A0A"/>
          <w:sz w:val="21"/>
        </w:rPr>
        <w:t xml:space="preserve">. Como o front é servido pela mesma origem, </w:t>
      </w:r>
      <w:r>
        <w:rPr>
          <w:rFonts w:ascii="Consolas" w:hAnsi="Consolas"/>
          <w:color w:val="1F1F1F"/>
          <w:sz w:val="19"/>
          <w:shd w:val="clear" w:fill="F2F2F2"/>
        </w:rPr>
        <w:t>CORS_ORIGINS</w:t>
      </w:r>
      <w:r>
        <w:rPr>
          <w:color w:val="0A0A0A"/>
          <w:sz w:val="21"/>
        </w:rPr>
        <w:t xml:space="preserve"> só é necessário se houver clientes em origens distintas.</w:t>
      </w:r>
    </w:p>
    <w:p>
      <w:pPr>
        <w:spacing w:before="80" w:after="160"/>
        <w:ind w:left="360"/>
        <w:pBdr>
          <w:left w:val="single" w:sz="18" w:space="8" w:color="1F1F1F"/>
        </w:pBdr>
      </w:pPr>
      <w:r>
        <w:rPr>
          <w:i/>
          <w:color w:val="5A5A5A"/>
          <w:sz w:val="21"/>
        </w:rPr>
        <w:t>Observação sobre conectividade do banco: no ambiente de referência (Supabase), a conexão da aplicação usa o *session pooler* IPv4 (</w:t>
      </w:r>
      <w:r>
        <w:rPr>
          <w:rFonts w:ascii="Consolas" w:hAnsi="Consolas"/>
          <w:i/>
          <w:color w:val="1F1F1F"/>
          <w:sz w:val="19"/>
          <w:shd w:val="clear" w:fill="F2F2F2"/>
        </w:rPr>
        <w:t>aws-1-sa-east-1.pooler.supabase.com:5432</w:t>
      </w:r>
      <w:r>
        <w:rPr>
          <w:i/>
          <w:color w:val="5A5A5A"/>
          <w:sz w:val="21"/>
        </w:rPr>
        <w:t xml:space="preserve">), pois o host direto é apenas IPv6. Esse detalhe importa ao montar a </w:t>
      </w:r>
      <w:r>
        <w:rPr>
          <w:rFonts w:ascii="Consolas" w:hAnsi="Consolas"/>
          <w:i/>
          <w:color w:val="1F1F1F"/>
          <w:sz w:val="19"/>
          <w:shd w:val="clear" w:fill="F2F2F2"/>
        </w:rPr>
        <w:t>DATABASE_URL</w:t>
      </w:r>
      <w:r>
        <w:rPr>
          <w:i/>
          <w:color w:val="5A5A5A"/>
          <w:sz w:val="21"/>
        </w:rPr>
        <w:t xml:space="preserve"> no ambiente de hospedagem.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7.5 Empacotamento da publicação</w:t>
      </w:r>
    </w:p>
    <w:p>
      <w:pPr>
        <w:jc w:val="both"/>
      </w:pPr>
      <w:r>
        <w:rPr>
          <w:color w:val="0A0A0A"/>
          <w:sz w:val="21"/>
        </w:rPr>
        <w:t xml:space="preserve">O arquivo </w:t>
      </w:r>
      <w:r>
        <w:rPr>
          <w:rFonts w:ascii="Consolas" w:hAnsi="Consolas"/>
          <w:color w:val="1F1F1F"/>
          <w:sz w:val="19"/>
          <w:shd w:val="clear" w:fill="F2F2F2"/>
        </w:rPr>
        <w:t>.vscode/settings.json</w:t>
      </w:r>
      <w:r>
        <w:rPr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fill="F2F2F2"/>
        </w:rPr>
        <w:t>appService.zipIgnorePattern</w:t>
      </w:r>
      <w:r>
        <w:rPr>
          <w:color w:val="0A0A0A"/>
          <w:sz w:val="21"/>
        </w:rPr>
        <w:t>, que exclui do pacote de publicação artefatos desnecessários: caches de Python, diretórios de build, ambientes virtuais (</w:t>
      </w:r>
      <w:r>
        <w:rPr>
          <w:rFonts w:ascii="Consolas" w:hAnsi="Consolas"/>
          <w:color w:val="1F1F1F"/>
          <w:sz w:val="19"/>
          <w:shd w:val="clear" w:fill="F2F2F2"/>
        </w:rPr>
        <w:t>.venv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env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venv</w:t>
      </w:r>
      <w:r>
        <w:rPr>
          <w:color w:val="0A0A0A"/>
          <w:sz w:val="21"/>
        </w:rPr>
        <w:t xml:space="preserve">) e o próprio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. Isso evita publicar segredos locais e reduz o tamanho do pacote — os segredos de produção devem vir das App Settings, não de um </w:t>
      </w:r>
      <w:r>
        <w:rPr>
          <w:rFonts w:ascii="Consolas" w:hAnsi="Consolas"/>
          <w:color w:val="1F1F1F"/>
          <w:sz w:val="19"/>
          <w:shd w:val="clear" w:fill="F2F2F2"/>
        </w:rPr>
        <w:t>.env</w:t>
      </w:r>
      <w:r>
        <w:rPr>
          <w:color w:val="0A0A0A"/>
          <w:sz w:val="21"/>
        </w:rPr>
        <w:t xml:space="preserve"> empacotado.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8. Sonda de saúde e diagnóstico</w:t>
      </w:r>
    </w:p>
    <w:p>
      <w:pPr>
        <w:jc w:val="both"/>
      </w:pPr>
      <w:r>
        <w:rPr>
          <w:color w:val="0A0A0A"/>
          <w:sz w:val="21"/>
        </w:rPr>
        <w:t xml:space="preserve">A aplicação expõe </w:t>
      </w:r>
      <w:r>
        <w:rPr>
          <w:rFonts w:ascii="Consolas" w:hAnsi="Consolas"/>
          <w:color w:val="1F1F1F"/>
          <w:sz w:val="19"/>
          <w:shd w:val="clear" w:fill="F2F2F2"/>
        </w:rPr>
        <w:t>GET /health</w:t>
      </w:r>
      <w:r>
        <w:rPr>
          <w:color w:val="0A0A0A"/>
          <w:sz w:val="21"/>
        </w:rPr>
        <w:t xml:space="preserve"> fora do prefixo da API, para uso por infraestrutura. No estado atual do código, esse endpoint opera em modo de diagnóstico: além do status, retorna informações úteis para depurar a implantação no Azure — se a pasta </w:t>
      </w:r>
      <w:r>
        <w:rPr>
          <w:rFonts w:ascii="Consolas" w:hAnsi="Consolas"/>
          <w:color w:val="1F1F1F"/>
          <w:sz w:val="19"/>
          <w:shd w:val="clear" w:fill="F2F2F2"/>
        </w:rPr>
        <w:t>frontend</w:t>
      </w:r>
      <w:r>
        <w:rPr>
          <w:color w:val="0A0A0A"/>
          <w:sz w:val="21"/>
        </w:rPr>
        <w:t xml:space="preserve"> foi encontrada, o caminho calculado para ela e o conteúdo do diretório raiz. É uma forma rápida de confirmar que o empacotamento incluiu o front-end no servidor.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9. Fluxo de validação ponta a ponta</w:t>
      </w:r>
    </w:p>
    <w:p>
      <w:pPr>
        <w:jc w:val="both"/>
      </w:pPr>
      <w:r>
        <w:rPr>
          <w:color w:val="0A0A0A"/>
          <w:sz w:val="21"/>
        </w:rPr>
        <w:t>Após a configuração, valide a integração percorrendo o caminho clínico completo: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1. </w:t>
      </w:r>
      <w:r>
        <w:rPr>
          <w:b/>
          <w:color w:val="0A0A0A"/>
          <w:sz w:val="21"/>
        </w:rPr>
        <w:t>Login</w:t>
      </w:r>
      <w:r>
        <w:rPr>
          <w:color w:val="0A0A0A"/>
          <w:sz w:val="21"/>
        </w:rPr>
        <w:t xml:space="preserve"> com um usuário válido (médico ou administrador).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2. </w:t>
      </w:r>
      <w:r>
        <w:rPr>
          <w:b/>
          <w:color w:val="0A0A0A"/>
          <w:sz w:val="21"/>
        </w:rPr>
        <w:t>Dashboard</w:t>
      </w:r>
      <w:r>
        <w:rPr>
          <w:color w:val="0A0A0A"/>
          <w:sz w:val="21"/>
        </w:rPr>
        <w:t xml:space="preserve"> — confirma que o resumo operacional carrega.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3. </w:t>
      </w:r>
      <w:r>
        <w:rPr>
          <w:b/>
          <w:color w:val="0A0A0A"/>
          <w:sz w:val="21"/>
        </w:rPr>
        <w:t>Cadastrar paciente</w:t>
      </w:r>
      <w:r>
        <w:rPr>
          <w:color w:val="0A0A0A"/>
          <w:sz w:val="21"/>
        </w:rPr>
        <w:t xml:space="preserve"> — testa cifragem de nome e mascaramento de CPF.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4. </w:t>
      </w:r>
      <w:r>
        <w:rPr>
          <w:b/>
          <w:color w:val="0A0A0A"/>
          <w:sz w:val="21"/>
        </w:rPr>
        <w:t>Nova triagem</w:t>
      </w:r>
      <w:r>
        <w:rPr>
          <w:color w:val="0A0A0A"/>
          <w:sz w:val="21"/>
        </w:rPr>
        <w:t xml:space="preserve"> — checklist de sintomas + histórico familiar; submissão e cálculo de escore no banco.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5. </w:t>
      </w:r>
      <w:r>
        <w:rPr>
          <w:b/>
          <w:color w:val="0A0A0A"/>
          <w:sz w:val="21"/>
        </w:rPr>
        <w:t>Prontuário do paciente</w:t>
      </w:r>
      <w:r>
        <w:rPr>
          <w:color w:val="0A0A0A"/>
          <w:sz w:val="21"/>
        </w:rPr>
        <w:t xml:space="preserve"> — histórico de avaliações e reimpressão de laudo.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6. </w:t>
      </w:r>
      <w:r>
        <w:rPr>
          <w:b/>
          <w:color w:val="0A0A0A"/>
          <w:sz w:val="21"/>
        </w:rPr>
        <w:t>Agenda</w:t>
      </w:r>
      <w:r>
        <w:rPr>
          <w:color w:val="0A0A0A"/>
          <w:sz w:val="21"/>
        </w:rPr>
        <w:t xml:space="preserve"> — criação e edição de agendamentos.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7. </w:t>
      </w:r>
      <w:r>
        <w:rPr>
          <w:b/>
          <w:color w:val="0A0A0A"/>
          <w:sz w:val="21"/>
        </w:rPr>
        <w:t>Relatórios</w:t>
      </w:r>
      <w:r>
        <w:rPr>
          <w:color w:val="0A0A0A"/>
          <w:sz w:val="21"/>
        </w:rPr>
        <w:t xml:space="preserve"> (em Configurações) — gráficos a partir das avaliações finalizadas.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8. </w:t>
      </w:r>
      <w:r>
        <w:rPr>
          <w:b/>
          <w:color w:val="0A0A0A"/>
          <w:sz w:val="21"/>
        </w:rPr>
        <w:t>Logout</w:t>
      </w:r>
      <w:r>
        <w:rPr>
          <w:color w:val="0A0A0A"/>
          <w:sz w:val="21"/>
        </w:rPr>
        <w:t xml:space="preserve"> — encerramento da sessão.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10. Resolução de problemas comuns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Causa provável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A API responde no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curl</w:t>
            </w:r>
            <w:r>
              <w:rPr>
                <w:color w:val="0A0A0A"/>
                <w:sz w:val="19"/>
              </w:rPr>
              <w:t>, mas o front não funciona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Origem do front ausente 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CORS_ORIGINS</w:t>
            </w:r>
            <w:r>
              <w:rPr>
                <w:color w:val="0A0A0A"/>
                <w:sz w:val="19"/>
              </w:rPr>
              <w:t xml:space="preserve"> (modo local)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Inclua a origem exata (ex.: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http://127.0.0.1:5500</w:t>
            </w:r>
            <w:r>
              <w:rPr>
                <w:color w:val="0A0A0A"/>
                <w:sz w:val="19"/>
              </w:rPr>
              <w:t xml:space="preserve">) no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.env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Erro de driver ao conectar no banco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DATABASE_URL</w:t>
            </w:r>
            <w:r>
              <w:rPr>
                <w:color w:val="0A0A0A"/>
                <w:sz w:val="19"/>
              </w:rPr>
              <w:t xml:space="preserve"> sem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+asyncpg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Use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postgresql+asyncpg://...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Nomes ilegíveis ou falha ao decifrar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PGP_KEY</w:t>
            </w:r>
            <w:r>
              <w:rPr>
                <w:color w:val="0A0A0A"/>
                <w:sz w:val="19"/>
              </w:rPr>
              <w:t xml:space="preserve"> diferente da usada para cifrar os dados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Configure a mesma chave PGP dos dados existentes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Dashboard/histórico falham em runtime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A view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avaliacoes</w:t>
            </w:r>
            <w:r>
              <w:rPr>
                <w:color w:val="0A0A0A"/>
                <w:sz w:val="19"/>
              </w:rPr>
              <w:t xml:space="preserve"> não expõe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recomenda_exame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Aplicar a correção da view (grupo de Banco)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Front não aparece em produção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Pasta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frontend/</w:t>
            </w:r>
            <w:r>
              <w:rPr>
                <w:color w:val="0A0A0A"/>
                <w:sz w:val="19"/>
              </w:rPr>
              <w:t xml:space="preserve"> não foi empacotada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Verifique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GET /health</w:t>
            </w:r>
            <w:r>
              <w:rPr>
                <w:color w:val="0A0A0A"/>
                <w:sz w:val="19"/>
              </w:rPr>
              <w:t xml:space="preserve"> e o conteúdo da raiz publicada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Login retorna 429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Proteção contra força bruta acionada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Aguardar 10 minutos (5 falhas por IP na janela)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11. Resumo de portas e URLs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Local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Produção (Azure)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Back-end (API)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http://localhost:8000/api/v1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Mesma origem do site, sob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/api/v1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Front-end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http://127.0.0.1:5500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Servido pela própria aplicação (rota raiz)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Documentação da API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http://localhost:8000/api/v1/docs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&lt;host&gt;/api/v1/docs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Saúde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http://localhost:8000/health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&lt;host&gt;/health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CITO ·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