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 w:line="300" w:lineRule="auto"/>
        <w:jc w:val="center"/>
      </w:pPr>
      <w:r>
        <w:rPr>
          <w:rFonts w:ascii="Noto Sans CJK SC" w:hAnsi="Noto Sans CJK SC" w:eastAsia="Noto Sans CJK SC"/>
          <w:b/>
          <w:color w:val="18386C"/>
          <w:sz w:val="44"/>
        </w:rPr>
        <w:t>PMAIOS v0.3</w:t>
        <w:br/>
        <w:t>技术重构版</w:t>
      </w:r>
    </w:p>
    <w:p>
      <w:pPr>
        <w:spacing w:before="0" w:after="240" w:line="300" w:lineRule="auto"/>
        <w:jc w:val="center"/>
      </w:pPr>
      <w:r>
        <w:rPr>
          <w:rFonts w:ascii="Noto Sans CJK SC" w:hAnsi="Noto Sans CJK SC" w:eastAsia="Noto Sans CJK SC"/>
          <w:color w:val="505050"/>
          <w:sz w:val="23"/>
        </w:rPr>
        <w:t>从“自研基础设施”转向“核心内核 + 开源积木 + 可拼装平台”的重构方案</w:t>
      </w:r>
    </w:p>
    <w:p>
      <w:pPr>
        <w:spacing w:before="0" w:after="400" w:line="300" w:lineRule="auto"/>
        <w:jc w:val="center"/>
      </w:pPr>
      <w:r>
        <w:rPr>
          <w:rFonts w:ascii="Noto Sans CJK SC" w:hAnsi="Noto Sans CJK SC" w:eastAsia="Noto Sans CJK SC"/>
          <w:color w:val="6E6E6E"/>
          <w:sz w:val="21"/>
        </w:rPr>
        <w:t>适用于：单人高效开发 / v0.4 平台化准备 / 技术选型与开源组件集成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b/>
                <w:color w:val="1C4A87"/>
                <w:sz w:val="20"/>
              </w:rPr>
              <w:t>文档目标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rFonts w:ascii="Noto Sans CJK SC" w:hAnsi="Noto Sans CJK SC" w:eastAsia="Noto Sans CJK SC"/>
                <w:sz w:val="20"/>
              </w:rPr>
              <w:t>明确 PMAIOS v0.3 中哪些能力保留自研，哪些改为复用开源/托管组件，并给出集成与落地顺序。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C4A87"/>
                <w:sz w:val="20"/>
              </w:rPr>
              <w:t>核心原则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只保留差异化内核；基础设施优先复用；所有模块必须可评测、可版本化、可替换。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C4A87"/>
                <w:sz w:val="20"/>
              </w:rPr>
              <w:t>输出用途</w:t>
            </w:r>
          </w:p>
        </w:tc>
        <w:tc>
          <w:tcPr>
            <w:tcW w:type="dxa" w:w="61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sz w:val="20"/>
              </w:rPr>
              <w:t>可直接作为系统当前开发计划的技术重构依据，并为后续 v0.4 能力平台化预留接口。</w:t>
            </w:r>
          </w:p>
        </w:tc>
      </w:tr>
    </w:tbl>
    <w:p>
      <w:r>
        <w:br w:type="page"/>
      </w:r>
    </w:p>
    <w:p>
      <w:pPr>
        <w:pStyle w:val="Heading1"/>
        <w:spacing w:before="120" w:after="80" w:line="259" w:lineRule="auto"/>
      </w:pPr>
      <w:r>
        <w:t>1. 重构目标与原则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v0.3 的重构，不是增加新功能，而是把系统从“尽量自己做”改成“只自研核心，其余拼装成熟组件”。这样才能把开发效率从按小时计的重度手工实现，转变为按天迭代的可控集成。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只保留差异化能力：Orchestrator、知识抽象、Agent 规范、Workflow 规范、Capability API、评测闭环。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基础设施优先复用：向量库、队列、认证、UI 框架、工作流执行器、图可视化、模型接入、OCR、对象存储。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模块之间保持契约化：所有输入输出都使用 schema，避免隐式耦合。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每个模块都要能被评测、被回放、被替换、被版本化。</w:t>
      </w:r>
    </w:p>
    <w:p>
      <w:pPr>
        <w:pStyle w:val="Heading1"/>
        <w:spacing w:before="120" w:after="80" w:line="259" w:lineRule="auto"/>
      </w:pPr>
      <w:r>
        <w:t>2. 重构后的总体架构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建议把系统调整为“核心内核 + 开源积木 + 平台能力”的三层结构：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b/>
                <w:color w:val="1C4A87"/>
              </w:rPr>
              <w:t>层级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b/>
                <w:color w:val="1C4A87"/>
              </w:rPr>
              <w:t>职责</w:t>
            </w:r>
          </w:p>
        </w:tc>
        <w:tc>
          <w:tcPr>
            <w:tcW w:type="dxa" w:w="442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b/>
                <w:color w:val="1C4A87"/>
              </w:rPr>
              <w:t>实现策略</w:t>
            </w:r>
          </w:p>
        </w:tc>
      </w:tr>
      <w:tr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核心内核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系统的差异化能力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自研 Orchestrator、知识模型、Agent 注册、Capability API、评测与治理</w:t>
            </w:r>
          </w:p>
        </w:tc>
      </w:tr>
      <w:tr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开源积木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通用工程能力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LangGraph / LangChain、FastAPI、Next.js、React Flow、Postgres、Redis、Celery、Pinecone / Weaviate</w:t>
            </w:r>
          </w:p>
        </w:tc>
      </w:tr>
      <w:tr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平台能力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产品化与对外发布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Agent 发布、权限、配额、UI 入口、版本管理、监控、审计</w:t>
            </w:r>
          </w:p>
        </w:tc>
      </w:tr>
    </w:tbl>
    <w:p/>
    <w:p>
      <w:pPr>
        <w:pStyle w:val="Heading1"/>
        <w:spacing w:before="120" w:after="80" w:line="259" w:lineRule="auto"/>
      </w:pPr>
      <w:r>
        <w:t>3. 模块级保留 / 替换 / 不自研清单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b/>
                <w:color w:val="1C4A87"/>
              </w:rPr>
              <w:t>模块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b/>
                <w:color w:val="1C4A87"/>
              </w:rPr>
              <w:t>策略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b/>
                <w:color w:val="1C4A87"/>
              </w:rPr>
              <w:t>建议方案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b/>
                <w:color w:val="1C4A87"/>
              </w:rPr>
              <w:t>说明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Orchestrator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保留自研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任务解析 + Agent/Workflow/Tool 调度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这是系统大脑，不能外包给通用框架。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Workflow 执行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半自研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LangGraph 执行 + 自定义 Workflow Schema/Registry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你定义流程，框架负责跑流程。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Agent 执行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半自研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LangChain / OpenAI tool calling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保留 Agent 规范与权限，不自写循环执行器。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Knowledge 检索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外部复用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Pinecone / Weaviate + Postgres 元数据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不自研 embedding search。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队列/调度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外部复用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Celery + Redis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不自研 scheduler/queue。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API 服务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外部复用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FastAPI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快速稳定，适合 AI 服务。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前端 UI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外部复用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Next.js + Tailwind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不要自研 UI 框架。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流程可视化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外部复用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React Flow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适合 workflow viewer。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认证权限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外部复用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Supabase Auth / Auth0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减少账号体系工作量。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OCR/解析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外部复用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开源 OCR + 文档解析库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9"/>
              </w:rPr>
              <w:t>文件摄取不从零实现。</w:t>
            </w:r>
          </w:p>
        </w:tc>
      </w:tr>
    </w:tbl>
    <w:p>
      <w:pPr>
        <w:pStyle w:val="Heading1"/>
        <w:spacing w:before="120" w:after="80" w:line="259" w:lineRule="auto"/>
      </w:pPr>
      <w:r>
        <w:t>4. 技术选型与开源组件集成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以下选型以“先能跑、再做强、最后平台化”为原则，优先选择成熟、文档好、生态稳定的组件。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b/>
                <w:color w:val="1C4A87"/>
              </w:rPr>
              <w:t>能力域</w:t>
            </w:r>
          </w:p>
        </w:tc>
        <w:tc>
          <w:tcPr>
            <w:tcW w:type="dxa" w:w="221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b/>
                <w:color w:val="1C4A87"/>
              </w:rPr>
              <w:t>推荐组件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b/>
                <w:color w:val="1C4A87"/>
              </w:rPr>
              <w:t>集成方式</w:t>
            </w:r>
          </w:p>
        </w:tc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b/>
                <w:color w:val="1C4A87"/>
              </w:rPr>
              <w:t>选择原因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Workflow/Agent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LangGraph + LangChain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Orchestrator 调用图执行/工具调用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适合复杂任务编排与多 Agent 协作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API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FastAPI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统一对外服务层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轻量、类型友好、适合 AI 服务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前端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Next.js + Tailwind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UI Portal / 多会话 / 控制台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组件生态成熟，便于快速迭代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流程图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React Flow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Workflow Viewer / 设计器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节点流可视化成本低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向量检索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Pinecone 或 Weaviate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知识检索层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避免自建向量数据库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关系与事务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PostgreSQL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元数据 / 版本 / 权限 / 审计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稳定、易维护、适合主数据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缓存与队列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Redis + Celery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异步任务 / 计划任务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减少调度自研成本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认证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Supabase Auth / Auth0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账号、组织、权限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快速获得成熟权限能力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对象存储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S3 / OSS / MinIO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文档、图片、模型产物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统一文件资产管理</w:t>
            </w:r>
          </w:p>
        </w:tc>
      </w:tr>
      <w:tr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OCR/解析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Tesseract / Unstructured 等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文件摄取 pipeline</w:t>
            </w:r>
          </w:p>
        </w:tc>
        <w:tc>
          <w:tcPr>
            <w:tcW w:type="dxa" w:w="2521"/>
          </w:tcPr>
          <w:p>
            <w:r>
              <w:rPr>
                <w:rFonts w:ascii="Noto Sans CJK SC" w:hAnsi="Noto Sans CJK SC" w:eastAsia="Noto Sans CJK SC"/>
                <w:sz w:val="18"/>
              </w:rPr>
              <w:t>不用从零实现解析器</w:t>
            </w:r>
          </w:p>
        </w:tc>
      </w:tr>
    </w:tbl>
    <w:p/>
    <w:p>
      <w:pPr>
        <w:pStyle w:val="Heading1"/>
        <w:spacing w:before="120" w:after="80" w:line="259" w:lineRule="auto"/>
      </w:pPr>
      <w:r>
        <w:t>5. 核心模块重构说明</w:t>
      </w:r>
    </w:p>
    <w:p>
      <w:pPr>
        <w:pStyle w:val="Heading2"/>
        <w:spacing w:before="80" w:after="80" w:line="259" w:lineRule="auto"/>
      </w:pPr>
      <w:r>
        <w:t>5.1 Orchestrator 中枢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保留：任务解析、能力路由、Agent/Workflow 选择、Tool 调用策略。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不做：DAG 执行细节、队列、调度器、低层状态机。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落地：Orchestrator 只负责决策与组装，将执行交给 LangGraph/Celery 等组件。</w:t>
      </w:r>
    </w:p>
    <w:p>
      <w:pPr>
        <w:pStyle w:val="Heading2"/>
        <w:spacing w:before="80" w:after="80" w:line="259" w:lineRule="auto"/>
      </w:pPr>
      <w:r>
        <w:t>5.2 Workflow 系统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保留：Workflow Schema、Registry、阶段门禁、人工确认、回放与版本化。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不做：底层图执行、并发队列、重试调度。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落地：工作流定义由你维护，执行由 LangGraph + 状态存储完成。</w:t>
      </w:r>
    </w:p>
    <w:p>
      <w:pPr>
        <w:pStyle w:val="Heading2"/>
        <w:spacing w:before="80" w:after="80" w:line="259" w:lineRule="auto"/>
      </w:pPr>
      <w:r>
        <w:t>5.3 Agent 系统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保留：Agent 定义、角色、输入输出 schema、权限范围、工具绑定。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不做：手写复杂 agent loop、模型 fallback 逻辑、通用工具调用框架。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落地：Agent 使用 LangChain / function calling 实现执行，内部统一注册与版本控制。</w:t>
      </w:r>
    </w:p>
    <w:p>
      <w:pPr>
        <w:pStyle w:val="Heading2"/>
        <w:spacing w:before="80" w:after="80" w:line="259" w:lineRule="auto"/>
      </w:pPr>
      <w:r>
        <w:t>5.4 Knowledge 中台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保留：知识类型、来源、生命周期、版本、标签、关系、可信度。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不做：embedding 计算、向量索引、相似度搜索实现。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落地：Postgres 管元数据，Pinecone/Weaviate 管向量，所有知识先统一 schema 再入库。</w:t>
      </w:r>
    </w:p>
    <w:p>
      <w:pPr>
        <w:pStyle w:val="Heading2"/>
        <w:spacing w:before="80" w:after="80" w:line="259" w:lineRule="auto"/>
      </w:pPr>
      <w:r>
        <w:t>5.5 Tool / Connector 中台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保留：Tool registry、输入输出 schema、权限、审计、错误语义。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不做：把外部服务直接写死在业务逻辑中。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落地：API/DB/ML/CLI 统一封装为 Tool，再由 Agent/Workflow 调用。</w:t>
      </w:r>
    </w:p>
    <w:p>
      <w:pPr>
        <w:pStyle w:val="Heading2"/>
        <w:spacing w:before="80" w:after="80" w:line="259" w:lineRule="auto"/>
      </w:pPr>
      <w:r>
        <w:t>5.6 Runtime / Memory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保留：Session、短期记忆、工作记忆、事件日志、执行上下文。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不做：自己写队列和计划调度。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落地：Redis/Celery 负责运行，Runtime 只负责状态和上下文。</w:t>
      </w:r>
    </w:p>
    <w:p>
      <w:pPr>
        <w:pStyle w:val="Heading2"/>
        <w:spacing w:before="80" w:after="80" w:line="259" w:lineRule="auto"/>
      </w:pPr>
      <w:r>
        <w:t>5.7 UI / 交互层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保留：多会话、多项目、灵动交互、多模态输入输出、语音入口。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不做：自研前端基础框架和图形编辑器底座。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落地：Next.js + React Flow + 组件库，交互逻辑由 PMAIOS 定义。</w:t>
      </w:r>
    </w:p>
    <w:p>
      <w:pPr>
        <w:pStyle w:val="Heading2"/>
        <w:spacing w:before="80" w:after="80" w:line="259" w:lineRule="auto"/>
      </w:pPr>
      <w:r>
        <w:t>5.8 Evaluation / Feedback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保留：Prompt/Agent/Workflow 的评测、回归、A/B、benchmark、报告。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不做：评测引擎和数据标注全手工管理。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落地：复用 runner 与数据集管理思路，形成统一 eval 中台。</w:t>
      </w:r>
    </w:p>
    <w:p>
      <w:pPr>
        <w:pStyle w:val="Heading1"/>
        <w:spacing w:before="120" w:after="80" w:line="259" w:lineRule="auto"/>
      </w:pPr>
      <w:r>
        <w:t>6. 集成后的端到端架构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建议采用以下调用链，将工程复杂度压到最少，同时保留系统主控权：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85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A87"/>
                <w:sz w:val="20"/>
              </w:rPr>
              <w:t>UI / CLI / API → FastAPI → Orchestrator → LangGraph / LangChain → Tools / DB / ML → Postgres / Redis / Vector DB / Object Storage</w:t>
            </w:r>
          </w:p>
        </w:tc>
      </w:tr>
    </w:tbl>
    <w:p/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Orchestrator 是唯一决策入口。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Workflow 负责过程控制，Agent 负责智能执行。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Knowledge 统一承载所有长期资产。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Tool 将外部服务标准化后再开放给 Agent/Workflow。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Runtime 只保存执行状态，不承载业务逻辑。</w:t>
      </w:r>
    </w:p>
    <w:p>
      <w:pPr>
        <w:pStyle w:val="Heading1"/>
        <w:spacing w:before="120" w:after="80" w:line="259" w:lineRule="auto"/>
      </w:pPr>
      <w:r>
        <w:t>7. 推荐开发顺序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第一步：保留 v0.3 核心定义，删掉自研基础设施的伪需求。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第二步：先打通 Orchestrator + 1 个 Agent + 1 个 Workflow + 1 个 Tool + 1 个 Knowledge 查询。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第三步：接入 FastAPI / Next.js / LangGraph / Postgres / Redis / Vector DB 的最小闭环。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第四步：把评测、版本管理、日志与回放补齐。</w:t>
      </w:r>
    </w:p>
    <w:p>
      <w:pPr>
        <w:spacing w:after="40" w:line="288" w:lineRule="auto"/>
        <w:ind w:left="312" w:hanging="142"/>
      </w:pPr>
      <w:r>
        <w:rPr>
          <w:rFonts w:ascii="Noto Sans CJK SC" w:hAnsi="Noto Sans CJK SC" w:eastAsia="Noto Sans CJK SC"/>
          <w:sz w:val="20"/>
        </w:rPr>
        <w:t>• 第五步：再考虑 Agent 发布平台、能力市场和 v0.4 平台化。</w:t>
      </w:r>
    </w:p>
    <w:p>
      <w:pPr>
        <w:pStyle w:val="Heading1"/>
        <w:spacing w:before="120" w:after="80" w:line="259" w:lineRule="auto"/>
      </w:pPr>
      <w:r>
        <w:t>8. 风险与约束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b/>
                <w:color w:val="1C4A87"/>
              </w:rPr>
              <w:t>风险</w:t>
            </w:r>
          </w:p>
        </w:tc>
        <w:tc>
          <w:tcPr>
            <w:tcW w:type="dxa" w:w="323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b/>
                <w:color w:val="1C4A87"/>
              </w:rPr>
              <w:t>表现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AF7"/>
          </w:tcPr>
          <w:p>
            <w:r>
              <w:rPr>
                <w:b/>
                <w:color w:val="1C4A87"/>
              </w:rPr>
              <w:t>应对</w:t>
            </w:r>
          </w:p>
        </w:tc>
      </w:tr>
      <w:tr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过度自研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每个基础能力都自己写，开发极慢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直接用开源/托管，只保留核心内核</w:t>
            </w:r>
          </w:p>
        </w:tc>
      </w:tr>
      <w:tr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抽象过度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架构很漂亮但不落地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先跑通一个最小闭环，再扩展</w:t>
            </w:r>
          </w:p>
        </w:tc>
      </w:tr>
      <w:tr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接口混乱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模块间隐式耦合，难以替换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所有模块使用 schema contract</w:t>
            </w:r>
          </w:p>
        </w:tc>
      </w:tr>
      <w:tr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评测缺失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改了 Prompt/Agent 结果变差看不出来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强制评测与回归</w:t>
            </w:r>
          </w:p>
        </w:tc>
      </w:tr>
      <w:tr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运维复杂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自建队列/DB/向量库导致运维负担大</w:t>
            </w:r>
          </w:p>
        </w:tc>
        <w:tc>
          <w:tcPr>
            <w:tcW w:type="dxa" w:w="3362"/>
          </w:tcPr>
          <w:p>
            <w:r>
              <w:rPr>
                <w:rFonts w:ascii="Noto Sans CJK SC" w:hAnsi="Noto Sans CJK SC" w:eastAsia="Noto Sans CJK SC"/>
                <w:sz w:val="19"/>
              </w:rPr>
              <w:t>选成熟服务，先轻后重</w:t>
            </w:r>
          </w:p>
        </w:tc>
      </w:tr>
    </w:tbl>
    <w:p>
      <w:pPr>
        <w:pStyle w:val="Heading1"/>
        <w:spacing w:before="120" w:after="80" w:line="259" w:lineRule="auto"/>
      </w:pPr>
      <w:r>
        <w:t>9. 结论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v0.3 技术重构的本质，不是把系统变得更复杂，而是把“该自己做的”和“没必要自己做的”分开。你真正要坚持自研的是 Orchestrator、知识抽象、能力注册、评测闭环与治理；其余一切成熟工程能力，都应该尽量用开源组件和托管服务拼装。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这样，PMAIOS 才能从“一个人堆功能”升级为“一个人也能高效驾驭的平台内核”。</w:t>
      </w:r>
    </w:p>
    <w:sectPr w:rsidR="00FC693F" w:rsidRPr="0006063C" w:rsidSect="00034616">
      <w:footerReference w:type="default" r:id="rId9"/>
      <w:pgSz w:w="12240" w:h="15840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8"/>
      </w:rPr>
      <w:t>PMAIOS v0.3 技术重构版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4A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4A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