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知识库权限与MVP排期对齐 时间: 2026-04-14 16:35:25 参与人: 徐韵</w:t>
      </w:r>
    </w:p>
    <w:p>
      <w:pPr>
        <w:jc w:val="center"/>
      </w:pPr>
      <w:r>
        <w:drawing>
          <wp:inline distT="0" distR="0" distB="0" distL="0">
            <wp:extent cx="5943600" cy="5620947"/>
            <wp:docPr id="0" name="Drawing 0" descr="https://ai-tingji-summary-visualization.oss-cn-hangzhou.aliyuncs.com/data%2Fpublish%2F76327569643236313238393138335f343936383433323731365f32_qwen-plus_visual-summary%2Ftingji_visual_summary_cover_v4_1776156897.png?OSSAccessKeyId=LTAI5tPQmP8ZpF6A4SHU6jWN&amp;Expires=1933836901&amp;Signature=a%2Bq1mkThfJ4hhEhk7pPLKBZW%2Bsc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13238393138335f343936383433323731365f32_qwen-plus_visual-summary%2Ftingji_visual_summary_cover_v4_1776156897.png?OSSAccessKeyId=LTAI5tPQmP8ZpF6A4SHU6jWN&amp;Expires=1933836901&amp;Signature=a%2Bq1mkThfJ4hhEhk7pPLKBZW%2Bsc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2026年4月中旬，中台团队就知识库权限管理、MVP功能排期及知识接入方案进行对齐。核心进展明确：</w:t>
      </w:r>
      <w:r>
        <w:rPr>
          <w:b w:val="on"/>
        </w:rPr>
        <w:t>测试环境将于4月29日发布</w:t>
      </w:r>
      <w:r>
        <w:t>，当前聚焦权限模型设计与广告业务知识源的初步接入准备。</w:t>
      </w:r>
    </w:p>
    <w:p>
      <w:pPr>
        <w:pStyle w:val="Heading2"/>
        <w:outlineLvl w:val="1"/>
      </w:pPr>
      <w:r>
        <w:t>权限管理设计方案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权限分层结构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应用可见性权限：部分角色（如财务）无法看到特定应用（如广告相关模块）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内容分类访问权限：用户仅能查看被授权的知识分类（如发行人员可看广告数据，但看不到支付记录）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知识库加载机制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用户不手动选择知识库，由系统根据权限自动加载对应内容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Agent 调用端需实现统一权限控制，确保调用时上下文匹配权限范围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权限实现方式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通过知识库的选择界面体现权限分割——有权限的知识库才可被添加使用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团队共享场景下，非创建人仅可查看，</w:t>
      </w:r>
      <w:r>
        <w:rPr>
          <w:b w:val="on"/>
          <w:sz w:val="24"/>
          <w:rFonts w:ascii="Microsoft YaHei" w:hAnsi="Microsoft YaHei" w:cs="Microsoft YaHei" w:eastAsia="Microsoft YaHei"/>
        </w:rPr>
        <w:t>禁止删除或取消共享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高管或管理员账户拥有全量知识库访问权限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未来扩展设想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计划增加反馈评价功能：团队成员可在程序段落上提交评语，创建者和协作者均可查看，形成内部协作闭环</w:t>
      </w:r>
    </w:p>
    <w:p>
      <w:pPr>
        <w:pStyle w:val="Heading2"/>
        <w:outlineLvl w:val="1"/>
      </w:pPr>
      <w:r>
        <w:t>MVP 功能开发与排期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当前进度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T4平台基础功能基本完成，包含创建、团队共享等核心操作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“一键发布”功能暂未开发，前端按钮已置灰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关键时间节点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4月29日</w:t>
      </w:r>
      <w:r>
        <w:rPr>
          <w:rFonts w:ascii="Microsoft YaHei" w:hAnsi="Microsoft YaHei" w:cs="Microsoft YaHei" w:eastAsia="Microsoft YaHei"/>
          <w:sz w:val="24"/>
        </w:rPr>
        <w:t>在测试环境上线，面向公司内部中台团队试用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收集两周反馈后启动优化迭代，暂不对外正式发布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交互与权限细节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创建人可管理共享内容，其他成员只能查看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非创建人无任何修改或删除权限，保障数据安全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原型处理建议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当前UI原型无需重绘，前端代码将直接提供用于本地还原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后续在现有架构基础上持续迭代，避免重复建设</w:t>
      </w:r>
    </w:p>
    <w:p>
      <w:pPr>
        <w:pStyle w:val="Heading2"/>
        <w:outlineLvl w:val="1"/>
      </w:pPr>
      <w:r>
        <w:t>知识库构建与接入规划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知识来源与类型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广告业务流程文档、归因指标逻辑说明、数据上报规范等将手动录入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媒体开放文档通过爬虫采集并构建成图谱，经预处理后自动导入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数仓表语义信息（如结果表、激活表、注册表、付费表、启动说明）计划逐步纳入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整体目标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当前项目完成约30%，目标5月内推进主要知识源入库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结合MCP能力增强AI理解力，减少上下文冗余，提升准确率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术语标准化需求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提出建立统一术语表，实现跨域命名归一（如“激活”“启动”“新增”的映射关系）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接入支持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已具备开源工具支持快速接入，收到资料即可开始联调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建议优先对接广告流程与指标文档，确认链路通畅性</w:t>
      </w:r>
    </w:p>
    <w:p>
      <w:pPr>
        <w:pStyle w:val="Heading2"/>
        <w:outlineLvl w:val="1"/>
      </w:pPr>
      <w:r>
        <w:t>Agent 与知识库对接机制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连接方式探讨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希望实现Chat客户端支持知识库选择，类似Agent调用模式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关注如何让对话系统直接检索指定知识库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曾考虑“Agent注册”机制，但不确定是否适用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技术路径设想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参考 a to a 协议结构，将接口定义等内容注入知识库辅助理解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术语修正建议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“Agent注册”易产生歧义，建议改为“</w:t>
      </w:r>
      <w:r>
        <w:rPr>
          <w:b w:val="on"/>
          <w:sz w:val="24"/>
          <w:rFonts w:ascii="Microsoft YaHei" w:hAnsi="Microsoft YaHei" w:cs="Microsoft YaHei" w:eastAsia="Microsoft YaHei"/>
        </w:rPr>
        <w:t>知识库工具注册</w:t>
      </w:r>
      <w:r>
        <w:rPr>
          <w:rFonts w:ascii="Microsoft YaHei" w:hAnsi="Microsoft YaHei" w:cs="Microsoft YaHei" w:eastAsia="Microsoft YaHei"/>
          <w:sz w:val="24"/>
        </w:rPr>
        <w:t>”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实现方式可通过URL参数区分不同知识库调用源，实现路由控制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对接确认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可通过接口传参方式实现知识库绑定，具体由Java团队统一实现权限网关</w:t>
      </w:r>
    </w:p>
    <w:p>
      <w:pPr>
        <w:pStyle w:val="Heading2"/>
        <w:outlineLvl w:val="1"/>
      </w:pPr>
      <w:r>
        <w:t>下一步协同计划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近期安排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本周完成原型输出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下周准备好广告相关知识源内容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协作方式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与T4团队同步推进，准备一部分即接入一部分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将知识源列表汇总至整体计划文档中统一汇报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集成节奏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已与“玉哥”对齐，4月底前完成测试环境部署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支持东北团队先行部署验证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上线策略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初期不在小闪平台单独上线独立入口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5月第二周起，在智投平台和小闪同步上线广告业务专用问答模块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游戏运营与广告业务知识库分离，但底层共用同一服务架构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完成T4平台测试环境发布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4月29日</w:t>
            </w:r>
          </w:p>
        </w:tc>
      </w:tr>
      <w:tr>
        <w:tc>
          <w:tcPr>
            <w:tcW w:type="auto" w:w="0"/>
          </w:tcPr>
          <w:p>
            <w:r>
              <w:t>输出产品原型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本周内</w:t>
            </w:r>
          </w:p>
        </w:tc>
      </w:tr>
      <w:tr>
        <w:tc>
          <w:tcPr>
            <w:tcW w:type="auto" w:w="0"/>
          </w:tcPr>
          <w:p>
            <w:r>
              <w:t>准备广告业务知识源材料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下周</w:t>
            </w:r>
          </w:p>
        </w:tc>
      </w:tr>
      <w:tr>
        <w:tc>
          <w:tcPr>
            <w:tcW w:type="auto" w:w="0"/>
          </w:tcPr>
          <w:p>
            <w:r>
              <w:t>开始知识库联调接入</w:t>
            </w:r>
          </w:p>
        </w:tc>
        <w:tc>
          <w:tcPr>
            <w:tcW w:type="auto" w:w="0"/>
          </w:tcPr>
          <w:p>
            <w:r>
              <w:t>发言人1 + 发言人2</w:t>
            </w:r>
          </w:p>
        </w:tc>
        <w:tc>
          <w:tcPr>
            <w:tcW w:type="auto" w:w="0"/>
          </w:tcPr>
          <w:p>
            <w:r>
              <w:t>同步进行</w:t>
            </w:r>
          </w:p>
        </w:tc>
      </w:tr>
      <w:tr>
        <w:tc>
          <w:tcPr>
            <w:tcW w:type="auto" w:w="0"/>
          </w:tcPr>
          <w:p>
            <w:r>
              <w:t>Java侧统一权限管理方案落地</w:t>
            </w:r>
          </w:p>
        </w:tc>
        <w:tc>
          <w:tcPr>
            <w:tcW w:type="auto" w:w="0"/>
          </w:tcPr>
          <w:p>
            <w:r>
              <w:t>Java团队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权限体系正从“功能可见”向“数据可见”深度细化，未来可能需引入RBAC模型支撑复杂场景。 知识库建设采取“手工+自动”双轨输入，短期内依赖人工录入质量，长期需关注爬虫更新机制与图谱维护成本。 MVP阶段选择内部灰度而非公开上线，反映出团队对准确性与权限安全的高敏感度，适合渐进式验证。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发言人1在5月第二个礼拜上线测试版本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发言人2列出将要接入的知识源列表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发言人1与发言人2同步知识源并推进知识接入工作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发言人2本周完成原型设计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发言人2下周准备好广告相关知识内容并准备接入知识库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发言人1修改agent注册功能为知识库工具注册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发言人2将广告流程和广告指标文档接入知识库后进行联调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由Java团队统一处理权限管理功能的开发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支付权限与知识库访问控制讨论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会议首先讨论了支付权限的管理问题，涉及公司层面是否全员开放或按部门、角色进行权限划分。同时探讨了知识库的访问权限设计，包括应用可见性、分类内容的查看权限，以及不同部门（如广告、财务）对知识库的访问范围，初步明确了权限分层的必要性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00:02:38 </w:t>
      </w:r>
      <w:r>
        <w:rPr>
          <w:b w:val="on"/>
          <w:sz w:val="24"/>
          <w:rFonts w:ascii="Microsoft YaHei" w:hAnsi="Microsoft YaHei" w:cs="Microsoft YaHei" w:eastAsia="Microsoft YaHei"/>
        </w:rPr>
        <w:t>T4平台MVP功能设计与团队协作机制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了T4平台MVP版本的基础功能实现，包括创建、一键发布（暂灰）、团队共享机制等。明确了非创建人无法删除或修改共享内容的规则，并提出后续将增加团队内反馈评价功能，支持团队成员对程序内容进行评论和共享审阅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00:04:26 </w:t>
      </w:r>
      <w:r>
        <w:rPr>
          <w:b w:val="on"/>
          <w:sz w:val="24"/>
          <w:rFonts w:ascii="Microsoft YaHei" w:hAnsi="Microsoft YaHei" w:cs="Microsoft YaHei" w:eastAsia="Microsoft YaHei"/>
        </w:rPr>
        <w:t>前端架构复用与开发迭代规划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双方确认前期采用现有原型进行快速推进，避免重复开发。讨论了前端代码共享、本地绘制界面的可行性，并决定在四月底前完成测试环境发布。同时约定后续通过小版本迭代优化产品体验，暂不调整Chat绘画界面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00:06:26 </w:t>
      </w:r>
      <w:r>
        <w:rPr>
          <w:b w:val="on"/>
          <w:sz w:val="24"/>
          <w:rFonts w:ascii="Microsoft YaHei" w:hAnsi="Microsoft YaHei" w:cs="Microsoft YaHei" w:eastAsia="Microsoft YaHei"/>
        </w:rPr>
        <w:t>知识库构建目标与数据接入计划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确了知识库的内容来源与构建路径，包括广告业务文档、投放流程、归因指标逻辑、数仓表语义说明等。讨论了通过爬虫自动采集媒体开放文档并导入知识库的自动化流程，强调知识构建需分阶段推进，目标在5月完成核心知识体系搭建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00:09:22 </w:t>
      </w:r>
      <w:r>
        <w:rPr>
          <w:b w:val="on"/>
          <w:sz w:val="24"/>
          <w:rFonts w:ascii="Microsoft YaHei" w:hAnsi="Microsoft YaHei" w:cs="Microsoft YaHei" w:eastAsia="Microsoft YaHei"/>
        </w:rPr>
        <w:t>Agent与知识库对接机制探讨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了Agent如何接入知识库的问题，澄清了“Agent注册”概念，建议改为“知识库工具注册”。探讨了通过参数化接口实现不同Agent调用不同知识库的技术路径，并参考A2A协议的设计思路，明确需提供可配置的知识库地址以实现灵活对接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00:11:18 </w:t>
      </w:r>
      <w:r>
        <w:rPr>
          <w:b w:val="on"/>
          <w:sz w:val="24"/>
          <w:rFonts w:ascii="Microsoft YaHei" w:hAnsi="Microsoft YaHei" w:cs="Microsoft YaHei" w:eastAsia="Microsoft YaHei"/>
        </w:rPr>
        <w:t>术语标准化与知识分类体系建立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提出建立统一术语表的需求，用于映射不同业务域中的同义词（如激活、启动、新增），实现语义归一化。讨论了分类、出价、定向等标签的描述字段如何结构化抽取并纳入知识库，提升检索准确性和系统理解能力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00:12:36 </w:t>
      </w:r>
      <w:r>
        <w:rPr>
          <w:b w:val="on"/>
          <w:sz w:val="24"/>
          <w:rFonts w:ascii="Microsoft YaHei" w:hAnsi="Microsoft YaHei" w:cs="Microsoft YaHei" w:eastAsia="Microsoft YaHei"/>
        </w:rPr>
        <w:t>开发计划同步与知识源整合安排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双方对齐了后续开发节奏：本周完成原型设计，下周准备知识内容，同步推进知识接入工作。明确需列出具体的知识源清单，并将其汇总至整体计划中，确保知识准备与系统开发并行推进。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00:13:29 </w:t>
      </w:r>
      <w:r>
        <w:rPr>
          <w:b w:val="on"/>
          <w:sz w:val="24"/>
          <w:rFonts w:ascii="Microsoft YaHei" w:hAnsi="Microsoft YaHei" w:cs="Microsoft YaHei" w:eastAsia="Microsoft YaHei"/>
        </w:rPr>
        <w:t>多平台部署与应用场景规划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讨论了知识库能力的上线路径，将在小闪和智投两个平台分别部署。明确广告业务与游戏运营业务将独立运行，但底层共用同一知识库服务。强调初期以内测为主，逐步推广至实际业务场景。</w:t>
      </w:r>
    </w:p>
  </w:body>
</w:document>
</file>

<file path=word/numbering.xml><?xml version="1.0" encoding="utf-8"?>
<w:numbering xmlns:w="http://schemas.openxmlformats.org/wordprocessingml/2006/main">
  <w:abstractNum w:abstractNumId="5984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984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984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985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985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985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59846"/>
  </w:num>
  <w:num w:numId="2">
    <w:abstractNumId w:val="59848"/>
  </w:num>
  <w:num w:numId="3">
    <w:abstractNumId w:val="59849"/>
  </w:num>
  <w:num w:numId="4">
    <w:abstractNumId w:val="59850"/>
  </w:num>
  <w:num w:numId="5">
    <w:abstractNumId w:val="59851"/>
  </w:num>
  <w:num w:numId="6">
    <w:abstractNumId w:val="598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2026-04-14T08:55:59Z</dcterms:created>
  <dc:creator>Apache POI</dc:creator>
</cp:coreProperties>
</file>