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V3.14.7.2-手杀问题处理/勇士直播分时数据支持</w:t>
      </w:r>
    </w:p>
    <w:p>
      <w:pPr>
        <w:pStyle w:val="dingding-heading1"/>
        <w:spacing w:line="204.70588235294116"/>
      </w:pPr>
      <w:r>
        <w:rPr>
          <w:sz w:val="40"/>
          <w:b w:val="1"/>
        </w:rPr>
        <w:t xml:space="preserve">一、背景</w:t>
      </w:r>
    </w:p>
    <w:p>
      <w:pPr/>
      <w:r>
        <w:t xml:space="preserve">2.5号手杀ov华为荣耀小米接入了GSSDK，联运在应用商店更新了渠道包（11点）</w:t>
      </w:r>
    </w:p>
    <w:p>
      <w:pPr/>
      <w:r>
        <w:rPr>
          <w:sz w:val="22"/>
          <w:b w:val="1"/>
        </w:rPr>
        <w:t xml:space="preserve">导致问题：</w:t>
      </w:r>
    </w:p>
    <w:p>
      <w:pPr/>
      <w:r>
        <w:t xml:space="preserve">1.小米/vivo/oppo/华为/荣耀的包，对接后启动上报的渠道ID发生变化，导致触发包体不一致校验，未归因成功</w:t>
      </w:r>
    </w:p>
    <w:p>
      <w:pPr/>
      <w:r>
        <w:t xml:space="preserve">2.小米/vivo/oppo/华为/荣耀的包，对接后登录事件未上报到4，也未上报到201，导致注册/活跃数据偏低</w:t>
      </w:r>
    </w:p>
    <w:p>
      <w:pPr/>
      <w:r>
        <w:rPr>
          <w:sz w:val="22"/>
          <w:b w:val="1"/>
        </w:rPr>
        <w:t xml:space="preserve">业务影响：</w:t>
      </w:r>
      <w:r>
        <w:t xml:space="preserve">华为/荣耀的包，使用了智投监测链接投放，无法区分广告量和自然量；小米/vivo/oppo未使用监测，暂无影响</w:t>
      </w:r>
    </w:p>
    <w:p>
      <w:pPr>
        <w:pStyle w:val="dingding-heading1"/>
        <w:spacing w:line="204.70588235294116"/>
      </w:pPr>
      <w:r>
        <w:rPr>
          <w:sz w:val="40"/>
          <w:b w:val="1"/>
        </w:rPr>
        <w:t xml:space="preserve">二、目标</w:t>
      </w:r>
    </w:p>
    <w:p>
      <w:pPr>
        <w:numPr>
          <w:ilvl w:val="0"/>
          <w:numId w:val="1"/>
        </w:numPr>
      </w:pPr>
      <w:r>
        <w:t xml:space="preserve">保障手杀春节可正常投放</w:t>
      </w:r>
    </w:p>
    <w:p>
      <w:pPr>
        <w:numPr>
          <w:ilvl w:val="0"/>
          <w:numId w:val="1"/>
        </w:numPr>
      </w:pPr>
      <w:r>
        <w:t xml:space="preserve">勇士APP直播分时数据支持</w:t>
      </w:r>
    </w:p>
    <w:p>
      <w:pPr>
        <w:pStyle w:val="dingding-heading1"/>
        <w:spacing w:line="204.70588235294116"/>
      </w:pPr>
      <w:r>
        <w:rPr>
          <w:sz w:val="40"/>
          <w:b w:val="1"/>
        </w:rPr>
        <w:t xml:space="preserve">三、需求</w:t>
      </w:r>
    </w:p>
    <w:tbl>
      <w:tblPr>
        <w:tblStyle w:val="TableGrid"/>
        <w:tblW w:w="0" w:type="auto"/>
      </w:tblPr>
      <w:tblGrid>
        <w:gridCol w:w="810"/>
        <w:gridCol w:w="1290"/>
        <w:gridCol w:w="4110"/>
        <w:gridCol w:w="1320"/>
        <w:gridCol w:w="1320"/>
      </w:tblGrid>
      <w:tr>
        <w:trPr>
          <w:trHeight w:val="630"/>
        </w:trPr>
        <w:tc>
          <w:tcPr>
            <w:tcW w:w="810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left"/>
            </w:pPr>
            <w:r>
              <w:rPr>
                <w:color w:val="FFFFFF"/>
                <w:b w:val="1"/>
              </w:rPr>
              <w:t xml:space="preserve">编号</w:t>
            </w:r>
          </w:p>
        </w:tc>
        <w:tc>
          <w:tcPr>
            <w:tcW w:w="1290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left"/>
            </w:pPr>
            <w:r>
              <w:rPr>
                <w:color w:val="FFFFFF"/>
                <w:shd w:val="clear" w:color="auto" w:fill="7E7F7F"/>
              </w:rPr>
              <w:t xml:space="preserve">模块</w:t>
            </w:r>
          </w:p>
        </w:tc>
        <w:tc>
          <w:tcPr>
            <w:tcW w:w="4110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left"/>
            </w:pPr>
            <w:r>
              <w:rPr>
                <w:color w:val="FFFFFF"/>
                <w:shd w:val="clear" w:color="auto" w:fill="7E7F7F"/>
              </w:rPr>
              <w:t xml:space="preserve">需求简称(*)</w:t>
            </w:r>
          </w:p>
        </w:tc>
        <w:tc>
          <w:tcPr>
            <w:tcW w:w="1320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left"/>
            </w:pPr>
            <w:r>
              <w:rPr>
                <w:color w:val="FFFFFF"/>
                <w:shd w:val="clear" w:color="auto" w:fill="7E7F7F"/>
              </w:rPr>
              <w:t xml:space="preserve">优先级</w:t>
            </w:r>
          </w:p>
        </w:tc>
        <w:tc>
          <w:tcPr>
            <w:tcW w:w="1320" w:type="dxa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/>
            <w:r>
              <w:rPr>
                <w:color w:val="FFFFFF"/>
                <w:b w:val="1"/>
              </w:rPr>
              <w:t xml:space="preserve">备注</w:t>
            </w:r>
          </w:p>
        </w:tc>
      </w:tr>
      <w:tr>
        <w:trPr>
          <w:trHeight w:val="990"/>
        </w:trPr>
        <w:tc>
          <w:tcPr>
            <w:tcW w:w="81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１</w:t>
            </w:r>
          </w:p>
        </w:tc>
        <w:tc>
          <w:tcPr>
            <w:tcW w:w="129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事件接入</w:t>
            </w:r>
          </w:p>
        </w:tc>
        <w:tc>
          <w:tcPr>
            <w:tcW w:w="411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手杀新接入事件102作为登录事件源</w:t>
            </w:r>
          </w:p>
        </w:tc>
        <w:tc>
          <w:tcPr>
            <w:tcW w:w="132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P1</w:t>
            </w:r>
          </w:p>
        </w:tc>
        <w:tc>
          <w:tcPr>
            <w:tcW w:w="132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/>
          </w:p>
        </w:tc>
      </w:tr>
      <w:tr>
        <w:trPr>
          <w:trHeight w:val="0"/>
        </w:trPr>
        <w:tc>
          <w:tcPr>
            <w:tcW w:w="81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2</w:t>
            </w:r>
          </w:p>
        </w:tc>
        <w:tc>
          <w:tcPr>
            <w:tcW w:w="129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数据订正</w:t>
            </w:r>
          </w:p>
        </w:tc>
        <w:tc>
          <w:tcPr>
            <w:tcW w:w="411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2月5日-2月10号的数据订正</w:t>
            </w:r>
          </w:p>
        </w:tc>
        <w:tc>
          <w:tcPr>
            <w:tcW w:w="132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P1</w:t>
            </w:r>
          </w:p>
        </w:tc>
        <w:tc>
          <w:tcPr>
            <w:tcW w:w="132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/>
          </w:p>
        </w:tc>
      </w:tr>
      <w:tr>
        <w:trPr>
          <w:trHeight w:val="0"/>
        </w:trPr>
        <w:tc>
          <w:tcPr>
            <w:tcW w:w="81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3</w:t>
            </w:r>
          </w:p>
        </w:tc>
        <w:tc>
          <w:tcPr>
            <w:tcW w:w="129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活动报表</w:t>
            </w:r>
          </w:p>
        </w:tc>
        <w:tc>
          <w:tcPr>
            <w:tcW w:w="411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分时报表增加按时段汇总的口径数据</w:t>
            </w:r>
          </w:p>
        </w:tc>
        <w:tc>
          <w:tcPr>
            <w:tcW w:w="132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P1</w:t>
            </w:r>
          </w:p>
        </w:tc>
        <w:tc>
          <w:tcPr>
            <w:tcW w:w="1320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rPr>
                <w:color w:val="C10002"/>
              </w:rPr>
              <w:t xml:space="preserve">新增</w:t>
            </w:r>
          </w:p>
        </w:tc>
      </w:tr>
    </w:tbl>
    <w:p>
      <w:pPr>
        <w:pStyle w:val="dingding-heading1"/>
        <w:spacing w:line="204.70588235294116"/>
      </w:pPr>
      <w:r>
        <w:rPr>
          <w:sz w:val="40"/>
          <w:b w:val="1"/>
        </w:rPr>
        <w:t xml:space="preserve">四、需求明细</w:t>
      </w:r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3920"/>
        <w:gridCol w:w="3560"/>
        <w:gridCol w:w="3739"/>
      </w:tblGrid>
      <w:tr>
        <w:trPr>
          <w:trHeight w:val="0"/>
        </w:trPr>
        <w:tc>
          <w:tcPr>
            <w:tcW w:w="3920" w:type="dxa"/>
          </w:tcPr>
          <w:p>
            <w:pPr/>
            <w:r>
              <w:rPr>
                <w:b w:val="1"/>
              </w:rPr>
              <w:t xml:space="preserve">需求</w:t>
            </w:r>
          </w:p>
        </w:tc>
        <w:tc>
          <w:tcPr>
            <w:tcW w:w="3560" w:type="dxa"/>
          </w:tcPr>
          <w:p>
            <w:pPr/>
            <w:r>
              <w:rPr>
                <w:b w:val="1"/>
              </w:rPr>
              <w:t xml:space="preserve">说明</w:t>
            </w:r>
          </w:p>
        </w:tc>
        <w:tc>
          <w:tcPr>
            <w:tcW w:w="3739" w:type="dxa"/>
          </w:tcPr>
          <w:p>
            <w:pPr/>
            <w:r>
              <w:rPr>
                <w:b w:val="1"/>
              </w:rPr>
              <w:t xml:space="preserve">页面</w:t>
            </w:r>
          </w:p>
        </w:tc>
      </w:tr>
      <w:tr>
        <w:trPr>
          <w:trHeight w:val="0"/>
        </w:trPr>
        <w:tc>
          <w:tcPr>
            <w:tcW w:w="3920" w:type="dxa"/>
          </w:tcPr>
          <w:p>
            <w:pPr/>
            <w:r>
              <w:t xml:space="preserve">1.手杀接入事件102作为登录事件源</w:t>
            </w:r>
          </w:p>
        </w:tc>
        <w:tc>
          <w:tcPr>
            <w:tcW w:w="3560" w:type="dxa"/>
          </w:tcPr>
          <w:p>
            <w:pPr/>
            <w:r>
              <w:t xml:space="preserve">处理游戏：三国杀移动版</w:t>
            </w:r>
          </w:p>
          <w:p>
            <w:pPr/>
            <w:r>
              <w:t xml:space="preserve">处理逻辑：登录增加数据源102</w:t>
            </w:r>
          </w:p>
        </w:tc>
        <w:tc>
          <w:tcPr>
            <w:tcW w:w="3739" w:type="dxa"/>
          </w:tcPr>
          <w:p>
            <w:pPr/>
            <w:r>
              <w:t xml:space="preserve">无</w:t>
            </w:r>
          </w:p>
        </w:tc>
      </w:tr>
      <w:tr>
        <w:trPr>
          <w:trHeight w:val="0"/>
        </w:trPr>
        <w:tc>
          <w:tcPr>
            <w:tcW w:w="3920" w:type="dxa"/>
          </w:tcPr>
          <w:p>
            <w:pPr/>
            <w:r>
              <w:t xml:space="preserve">2.数据订正</w:t>
            </w:r>
          </w:p>
        </w:tc>
        <w:tc>
          <w:tcPr>
            <w:tcW w:w="3560" w:type="dxa"/>
          </w:tcPr>
          <w:p>
            <w:pPr/>
            <w:r>
              <w:t xml:space="preserve">三国杀移动版2.5-2.10的数据进行订正</w:t>
            </w:r>
          </w:p>
        </w:tc>
        <w:tc>
          <w:tcPr>
            <w:tcW w:w="3739" w:type="dxa"/>
          </w:tcPr>
          <w:p>
            <w:pPr/>
            <w:r>
              <w:t xml:space="preserve">无</w:t>
            </w:r>
          </w:p>
        </w:tc>
      </w:tr>
      <w:tr>
        <w:trPr>
          <w:trHeight w:val="0"/>
        </w:trPr>
        <w:tc>
          <w:tcPr>
            <w:tcW w:w="3920" w:type="dxa"/>
          </w:tcPr>
          <w:p>
            <w:pPr/>
            <w:r>
              <w:t xml:space="preserve">3.活动报表-分时报表增加按时段汇总的口径数据</w:t>
            </w:r>
          </w:p>
        </w:tc>
        <w:tc>
          <w:tcPr>
            <w:tcW w:w="3560" w:type="dxa"/>
          </w:tcPr>
          <w:p>
            <w:pPr>
              <w:ind/>
            </w:pPr>
            <w:r>
              <w:t xml:space="preserve">1.显示：选择【分时】，展示口径选择框，否则不展示</w:t>
            </w:r>
          </w:p>
          <w:p>
            <w:pPr>
              <w:ind/>
            </w:pPr>
            <w:r>
              <w:t xml:space="preserve">2.默认：口径默认按天，展示数据和当前一致，无调整</w:t>
            </w:r>
          </w:p>
          <w:p>
            <w:pPr>
              <w:ind/>
            </w:pPr>
            <w:r>
              <w:t xml:space="preserve">3.按时段逻辑：</w:t>
            </w:r>
          </w:p>
          <w:p>
            <w:pPr>
              <w:numPr>
                <w:ilvl w:val="0"/>
                <w:numId w:val="2"/>
              </w:numPr>
            </w:pPr>
            <w:r>
              <w:t xml:space="preserve">点击：展示该时段点击的数据</w:t>
            </w:r>
          </w:p>
          <w:p>
            <w:pPr>
              <w:numPr>
                <w:ilvl w:val="0"/>
                <w:numId w:val="2"/>
              </w:numPr>
            </w:pPr>
            <w:r>
              <w:t xml:space="preserve">落地页：展示该时段落地页打开/点击按钮的数据</w:t>
            </w:r>
          </w:p>
          <w:p>
            <w:pPr>
              <w:numPr>
                <w:ilvl w:val="0"/>
                <w:numId w:val="2"/>
              </w:numPr>
            </w:pPr>
            <w:r>
              <w:t xml:space="preserve">下载器/启动器：展示该时段下载/启动的数据</w:t>
            </w:r>
          </w:p>
          <w:p>
            <w:pPr>
              <w:numPr>
                <w:ilvl w:val="0"/>
                <w:numId w:val="2"/>
              </w:numPr>
            </w:pPr>
            <w:r>
              <w:t xml:space="preserve">激活：展示该时段激活的数据</w:t>
            </w:r>
          </w:p>
          <w:p>
            <w:pPr>
              <w:numPr>
                <w:ilvl w:val="0"/>
                <w:numId w:val="2"/>
              </w:numPr>
            </w:pPr>
            <w:r>
              <w:t xml:space="preserve">注册：展示该时段注册的数据</w:t>
            </w:r>
          </w:p>
          <w:p>
            <w:pPr>
              <w:numPr>
                <w:ilvl w:val="0"/>
                <w:numId w:val="2"/>
              </w:numPr>
            </w:pPr>
            <w:r>
              <w:t xml:space="preserve">注册后的行为：展示该时段注册用户的数据</w:t>
            </w:r>
          </w:p>
        </w:tc>
        <w:tc>
          <w:tcPr>
            <w:tcW w:w="3739" w:type="dxa"/>
          </w:tcPr>
          <w:p>
            <w:pPr/>
            <w:r/>
            <w:r>
              <w:drawing>
                <wp:inline distT="0" distB="0" distL="0" distR="0">
                  <wp:extent cx="2209800" cy="1378549"/>
                  <wp:effectExtent b="0" l="0" r="0" t="0"/>
                  <wp:docPr id="1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/>
                        </pic:blipFill>
                        <pic:spPr>
                          <a:xfrm rot="0">
                            <a:off x="0" y="0"/>
                            <a:ext cx="2209800" cy="13785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</w:tr>
    </w:tbl>
    <w:p>
      <w:pPr/>
      <w:r>
        <w:rPr>
          <w:b w:val="1"/>
        </w:rPr>
        <w:t xml:space="preserve">补充华为分包解析逻辑</w:t>
      </w:r>
    </w:p>
    <w:p>
      <w:pPr/>
      <w:r>
        <w:t xml:space="preserve">启动：分包号获取，从5532中获取分包号（channel），仅处理激活事件</w:t>
      </w:r>
    </w:p>
    <w:p>
      <w:pPr/>
      <w:r>
        <w:t xml:space="preserve">登录：解析('$.event_info.h5_param'), '$.stage'), '$.channel')，channel就是分包号</w:t>
      </w:r>
    </w:p>
    <w:sectPr>
      <w:pgSz w:w="13380" w:h="16830"/>
      <w:pgMar w:top="1440" w:right="1080" w:bottom="1440" w:left="1080" w:header="638.25" w:footer="691.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0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num w:numId="2">
    <w:abstractNumId w:val="1"/>
  </w: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table" w:default="0" w:styleId="tableDefault">
    <w:name w:val=""/>
    <w:tblPr>
      <w:tblStyle w:val="TableGrid"/>
      <w:tblBorders>
        <w:left w:val="single" w:sz="6" w:space="0" w:color="D6D6D6"/>
        <w:right w:val="single" w:sz="6" w:space="0" w:color="D6D6D6"/>
        <w:top w:val="single" w:sz="6" w:space="0" w:color="D6D6D6"/>
        <w:bottom w:val="single" w:sz="6" w:space="0" w:color="D6D6D6"/>
        <w:insideH w:val="single" w:sz="6" w:space="0" w:color="D6D6D6"/>
        <w:insideV w:val="single" w:sz="6" w:space="0" w:color="D6D6D6"/>
      </w:tblBorders>
      <w:tblW w:w="0" w:type="auto"/>
    </w:tblPr>
    <w:tcPr/>
  </w:style>
  <w:style w:type="table" w:default="0" w:styleId="tableHeader">
    <w:name w:val=""/>
    <w:basedOn w:val="tableDefault"/>
    <w:tcPr/>
    <w:tblStylePr w:type="firstRow">
      <w:tcPr>
        <w:shd w:val="clear" w:color="" w:fill="F8F8F8"/>
      </w:tcPr>
    </w:tblStylePr>
    <w:tblStylePr w:type="firstCol">
      <w:tcPr>
        <w:shd w:val="clear" w:color="" w:fill="F8F8F8"/>
      </w:tcPr>
    </w:tblStyle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image" Target="media/image1.png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