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回推明细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1.联调时，回推失败时需要开发协助排查原因，时间久，成本高</w:t>
      </w:r>
    </w:p>
    <w:p>
      <w:pPr/>
      <w:r>
        <w:t xml:space="preserve">2.投放时，想看自定义规则是否生效</w:t>
      </w:r>
    </w:p>
    <w:p>
      <w:pPr/>
      <w:r>
        <w:t xml:space="preserve">3.投放时，对比媒体指标和智投指标存在差异时，希望查看回推明细数据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ind/>
      </w:pPr>
      <w:r>
        <w:t xml:space="preserve">1.联调失败时，用户可通过明细定位回推失败的原因</w:t>
      </w:r>
    </w:p>
    <w:p>
      <w:pPr>
        <w:ind/>
      </w:pPr>
      <w:r>
        <w:t xml:space="preserve">2.对比媒体收到的回推数据时，用户可查看回推明细，辅助对比数据差异原因</w:t>
      </w:r>
    </w:p>
    <w:p>
      <w:pPr>
        <w:ind/>
      </w:pPr>
      <w:r>
        <w:t xml:space="preserve">3.设置自定义规则后，用户可查看自定义规则下的回推明细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780"/>
        <w:gridCol w:w="1200"/>
        <w:gridCol w:w="1800"/>
        <w:gridCol w:w="5640"/>
        <w:gridCol w:w="930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回推细查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激活、注册、付费回推明细表，实时更新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回推细查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支持在线筛选和导出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设置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回推设置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新增付费金额统计指标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设置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回推设置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兼容Google海外回推指标统计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564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付费增加字段：是否首次、设备激活时间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四、需求详情</w:t>
      </w:r>
    </w:p>
    <w:p>
      <w:pPr/>
      <w:r>
        <w:t xml:space="preserve">原型地址：</w:t>
      </w:r>
      <w:hyperlink r:id="rId4">
        <w:r>
          <w:rPr>
            <w:sz w:val="24"/>
            <w:rStyle w:val="hyperlink"/>
          </w:rPr>
          <w:t xml:space="preserve">储备版本-Pixso</w:t>
        </w:r>
      </w:hyperlink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（1）激活、注册、付费回推明细表，实时更新</w:t>
      </w:r>
    </w:p>
    <w:p>
      <w:pPr/>
      <w:r>
        <w:t xml:space="preserve">字段详情：</w:t>
      </w:r>
      <w:hyperlink r:id="rId5">
        <w:r>
          <w:rPr>
            <w:rStyle w:val="hyperlink"/>
          </w:rPr>
          <w:t xml:space="preserve">请至钉钉文档查看附件《回推明细表》</w:t>
        </w:r>
      </w:hyperlink>
      <w:r/>
    </w:p>
    <w:tbl>
      <w:tblPr>
        <w:tblStyle w:val="TableGrid"/>
        <w:tblW w:w="0" w:type="auto"/>
      </w:tblPr>
      <w:tblGrid>
        <w:gridCol w:w="3734"/>
        <w:gridCol w:w="7485"/>
      </w:tblGrid>
      <w:tr>
        <w:trPr>
          <w:trHeight w:val="0"/>
        </w:trPr>
        <w:tc>
          <w:tcPr>
            <w:tcW w:w="3734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2314575" cy="1764577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314575" cy="176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7485" w:type="dxa"/>
            <w:vAlign w:val="top"/>
            <w:shd w:val="clear" w:color="auto"/>
          </w:tcPr>
          <w:tbl>
            <w:tblPr>
              <w:tblStyle w:val="TableGrid"/>
              <w:tblW w:w="0" w:type="auto"/>
            </w:tblPr>
            <w:tblGrid>
              <w:gridCol w:w="5610"/>
              <w:gridCol w:w="5610"/>
            </w:tblGrid>
            <w:tr>
              <w:trPr>
                <w:trHeight w:val="0"/>
              </w:trPr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3076575" cy="2340872"/>
                        <wp:effectExtent b="0" l="0" r="0" t="0"/>
                        <wp:docPr id="2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3076575" cy="2340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3076575" cy="2250032"/>
                        <wp:effectExtent b="0" l="0" r="0" t="0"/>
                        <wp:docPr id="3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3076575" cy="2250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</w:tr>
          </w:tbl>
          <w:p/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（2）支持在线筛选和导出</w:t>
      </w:r>
    </w:p>
    <w:p>
      <w:pPr/>
      <w:r>
        <w:t xml:space="preserve">筛选说明待补充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（3）新增付费金额统计指标</w:t>
      </w:r>
    </w:p>
    <w:p>
      <w:pPr/>
      <w:r/>
      <w:r>
        <w:drawing>
          <wp:inline distT="0" distB="0" distL="0" distR="0">
            <wp:extent cx="7124700" cy="6133921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61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（4）</w:t>
      </w:r>
      <w:r>
        <w:t xml:space="preserve">兼容Google海外回推指标统计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（5）</w:t>
      </w:r>
      <w:r>
        <w:t xml:space="preserve">付费增加字段：是否首次、设备激活时间</w:t>
      </w:r>
    </w:p>
    <w:p>
      <w:pPr/>
      <w:r>
        <w:t xml:space="preserve">用户细查-付费明细增加指标：是否首次、设备激活时间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YFI-XPnXG8M4O-cBdxhkYA?page-id=21%3A3842" TargetMode="External" />
  <Relationship Id="rId5" Type="http://schemas.openxmlformats.org/officeDocument/2006/relationships/hyperlink" Target="https://docs.xiaoshanim.com/i/nodes/7gNKMlbrq3WXA9be3QeF4Xv5p6Ad9nL1?iframeQuery=anchorId%253DX02mihaq0c9f4w7n6v1yie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