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小米密钥获取说明</w:t>
      </w:r>
    </w:p>
    <w:p>
      <w:pPr/>
      <w:r>
        <w:t xml:space="preserve">在小米营销后台EMI4.0事件管理页面获取。</w:t>
      </w:r>
      <w:r>
        <w:drawing>
          <wp:inline distT="0" distB="0" distL="0" distR="0">
            <wp:extent cx="7124700" cy="377190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