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v3.14.3-回推明细/报表优化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明年会接入多维，Q1会花较大精力在重构表结构，期望在12月能够解决以下问题</w:t>
      </w:r>
    </w:p>
    <w:p>
      <w:pPr/>
      <w:r>
        <w:t xml:space="preserve">1.项目日常检查：检查账户、折扣等信息时，希望做成预警，群内通知</w:t>
      </w:r>
    </w:p>
    <w:p>
      <w:pPr/>
      <w:r>
        <w:t xml:space="preserve">2.回推排查：回推排查时依赖开发拉取数据，排查时间久、效率低</w:t>
      </w:r>
    </w:p>
    <w:p>
      <w:pPr/>
      <w:r>
        <w:t xml:space="preserve">3.联调：遇到游戏未开付费、巨量融合归因、广告冷启动时需要进行手动回推，可做成标准工具</w:t>
      </w:r>
    </w:p>
    <w:p>
      <w:pPr>
        <w:ind/>
      </w:pPr>
      <w:r>
        <w:t xml:space="preserve">4.报表：进一步提升用户在线分析能力，减少导出分析、拼接工作</w:t>
      </w:r>
    </w:p>
    <w:p>
      <w:pPr>
        <w:ind/>
      </w:pP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numPr>
          <w:ilvl w:val="0"/>
          <w:numId w:val="1"/>
        </w:numPr>
      </w:pPr>
      <w:r>
        <w:t xml:space="preserve">提高回推排查的准确性和效率</w:t>
      </w:r>
    </w:p>
    <w:p>
      <w:pPr>
        <w:numPr>
          <w:ilvl w:val="0"/>
          <w:numId w:val="1"/>
        </w:numPr>
      </w:pPr>
      <w:r>
        <w:t xml:space="preserve">优化报表，提高用户取数效率</w:t>
      </w:r>
    </w:p>
    <w:p>
      <w:pPr>
        <w:numPr>
          <w:ilvl w:val="0"/>
          <w:numId w:val="1"/>
        </w:numPr>
      </w:pPr>
      <w:r>
        <w:t xml:space="preserve">应用添加简化，降低运营成本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780"/>
        <w:gridCol w:w="810"/>
        <w:gridCol w:w="1740"/>
        <w:gridCol w:w="5025"/>
        <w:gridCol w:w="1185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1005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回推明细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激活、注册、付费、关键行为回推明细</w:t>
            </w:r>
          </w:p>
          <w:p>
            <w:pPr/>
            <w:r>
              <w:rPr>
                <w:sz w:val="18"/>
                <w:color w:val="A4A5A5"/>
              </w:rPr>
              <w:t xml:space="preserve">价值：提高回推排查效率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99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81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项目概况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增加推广应用、流量来源、投放团队趋势图</w:t>
            </w:r>
          </w:p>
          <w:p>
            <w:pPr/>
            <w:r>
              <w:rPr>
                <w:sz w:val="18"/>
                <w:color w:val="A4A5A5"/>
              </w:rPr>
              <w:t xml:space="preserve">价值：项目组人员/新团队可快速了解投放概况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1005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日周月报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细分样式平铺开，增加长线ROI指标</w:t>
            </w:r>
          </w:p>
          <w:p>
            <w:pPr/>
            <w:r>
              <w:rPr>
                <w:sz w:val="18"/>
                <w:color w:val="A4A5A5"/>
              </w:rPr>
              <w:t xml:space="preserve">价值：减少开发联调投入工作量1h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增加付费金额、是否首次付费筛选</w:t>
            </w:r>
          </w:p>
          <w:p>
            <w:pPr/>
            <w:r>
              <w:rPr>
                <w:sz w:val="18"/>
                <w:color w:val="A4A5A5"/>
              </w:rPr>
              <w:t xml:space="preserve">价值：支持在线分析用户付费质量，查看各档位付费数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1005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应用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应用推广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应用接入标准化，简化字段</w:t>
            </w:r>
          </w:p>
          <w:p>
            <w:pPr/>
            <w:r>
              <w:rPr>
                <w:sz w:val="18"/>
                <w:color w:val="A4A5A5"/>
              </w:rPr>
              <w:t xml:space="preserve">价值：新应用接入效率提升，用户可自助添加应用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样式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自定义列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支持自定义指标分组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bug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素材预览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素材预览地址失效时，文字提示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502"/>
        <w:gridCol w:w="5978"/>
        <w:gridCol w:w="3739"/>
      </w:tblGrid>
      <w:tr>
        <w:trPr>
          <w:trHeight w:val="0"/>
        </w:trPr>
        <w:tc>
          <w:tcPr>
            <w:tcW w:w="1502" w:type="dxa"/>
          </w:tcPr>
          <w:p>
            <w:pPr/>
            <w:r>
              <w:rPr>
                <w:b w:val="1"/>
              </w:rPr>
              <w:t xml:space="preserve">需求</w:t>
            </w:r>
          </w:p>
        </w:tc>
        <w:tc>
          <w:tcPr>
            <w:tcW w:w="5978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  <w:tc>
          <w:tcPr>
            <w:tcW w:w="3739" w:type="dxa"/>
          </w:tcPr>
          <w:p>
            <w:pPr/>
            <w:r>
              <w:rPr>
                <w:b w:val="1"/>
              </w:rPr>
              <w:t xml:space="preserve">页面示例</w:t>
            </w:r>
          </w:p>
        </w:tc>
      </w:tr>
      <w:tr>
        <w:trPr>
          <w:trHeight w:val="3255"/>
        </w:trPr>
        <w:tc>
          <w:tcPr>
            <w:tcW w:w="1502" w:type="dxa"/>
          </w:tcPr>
          <w:p>
            <w:pPr/>
            <w:r>
              <w:t xml:space="preserve">回推明细</w:t>
            </w:r>
          </w:p>
        </w:tc>
        <w:tc>
          <w:tcPr>
            <w:tcW w:w="5978" w:type="dxa"/>
          </w:tcPr>
          <w:p>
            <w:pPr>
              <w:ind/>
            </w:pPr>
            <w:r>
              <w:t xml:space="preserve">1.行为事件：激活、注册、付费、关键行为、次留</w:t>
            </w:r>
          </w:p>
          <w:p>
            <w:pPr>
              <w:ind/>
            </w:pPr>
            <w:r>
              <w:t xml:space="preserve">2.展示事件范围：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事件本身+回推到该事件的事件（举例：激活：展示激活+回推到激活类型的事件）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归因中的事件/自然量/回流也展示，这类事件不需要回推，默认展示为不回推</w:t>
            </w:r>
          </w:p>
          <w:p>
            <w:pPr/>
            <w:r>
              <w:t xml:space="preserve">3.更新时效：实时更新（接受2-5min）</w:t>
            </w:r>
          </w:p>
          <w:p>
            <w:pPr/>
            <w:r>
              <w:t xml:space="preserve">4.回推明细字段：</w:t>
            </w:r>
            <w:hyperlink r:id="rId4">
              <w:r>
                <w:rPr>
                  <w:rStyle w:val="hyperlink"/>
                </w:rPr>
                <w:t xml:space="preserve">请至钉钉文档查看附件《回推明细表》</w:t>
              </w:r>
            </w:hyperlink>
            <w:r/>
          </w:p>
          <w:p>
            <w:pPr/>
            <w:r/>
          </w:p>
          <w:p>
            <w:pPr/>
            <w:r>
              <w:t xml:space="preserve">权限说明：支持按包隔离数据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安卓/pc/web：可查看拥有团队下的包体数据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IOS/H5：暂不隔离</w:t>
            </w:r>
          </w:p>
          <w:p>
            <w:pPr>
              <w:ind/>
            </w:pPr>
            <w:r/>
          </w:p>
          <w:p>
            <w:pPr/>
            <w:r/>
          </w:p>
          <w:p>
            <w:pPr/>
            <w:r/>
          </w:p>
        </w:tc>
        <w:tc>
          <w:tcPr>
            <w:tcW w:w="3739" w:type="dxa"/>
          </w:tcPr>
          <w:p>
            <w:pPr/>
            <w:r/>
            <w:hyperlink r:id="rId5">
              <w:r>
                <w:rPr>
                  <w:rStyle w:val="hyperlink"/>
                </w:rPr>
                <w:t xml:space="preserve">https://pixso.cn/app/design/S3mJhi4tqEa2s-lo50iNxA?page-id=36%3A1076</w:t>
              </w:r>
            </w:hyperlink>
            <w:r>
              <w:t xml:space="preserve"> 邀请您加入 Pixso 设计文件「v3.14.2-回推明细/手动回推/报表优化」</w:t>
            </w:r>
          </w:p>
          <w:p>
            <w:pPr/>
            <w:r/>
            <w:r>
              <w:drawing>
                <wp:inline distT="0" distB="0" distL="0" distR="0">
                  <wp:extent cx="2209800" cy="587681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09800" cy="587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用户细查</w:t>
            </w:r>
          </w:p>
        </w:tc>
        <w:tc>
          <w:tcPr>
            <w:tcW w:w="5978" w:type="dxa"/>
          </w:tcPr>
          <w:p>
            <w:pPr>
              <w:ind/>
            </w:pPr>
            <w:r>
              <w:t xml:space="preserve">1.用户细查新增指标：是否首日付费、是否首次付费</w:t>
            </w:r>
          </w:p>
          <w:p>
            <w:pPr>
              <w:ind/>
            </w:pPr>
            <w:r>
              <w:t xml:space="preserve">位置：应用类型字段后面</w:t>
            </w:r>
          </w:p>
          <w:p>
            <w:pPr>
              <w:ind/>
            </w:pPr>
            <w:r>
              <w:t xml:space="preserve">定义：</w:t>
            </w:r>
            <w:hyperlink r:id="rId7">
              <w:r>
                <w:rPr>
                  <w:rStyle w:val="hyperlink"/>
                </w:rPr>
                <w:t xml:space="preserve">请至钉钉文档查看附件《行为数据查询-大宽表》</w:t>
              </w:r>
            </w:hyperlink>
            <w:r/>
          </w:p>
          <w:p>
            <w:pPr>
              <w:ind/>
            </w:pPr>
            <w:r>
              <w:t xml:space="preserve">2.筛选增加：是否首日付费、是否首次付费、付费金额</w:t>
            </w:r>
          </w:p>
        </w:tc>
        <w:tc>
          <w:tcPr>
            <w:tcW w:w="3739" w:type="dxa"/>
          </w:tcPr>
          <w:p>
            <w:pPr/>
            <w:r/>
            <w:r>
              <w:drawing>
                <wp:inline distT="0" distB="0" distL="0" distR="0">
                  <wp:extent cx="2209800" cy="1663069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209800" cy="166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09800" cy="221169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2209800" cy="221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项目概况</w:t>
            </w:r>
          </w:p>
        </w:tc>
        <w:tc>
          <w:tcPr>
            <w:tcW w:w="5978" w:type="dxa"/>
          </w:tcPr>
          <w:p>
            <w:pPr>
              <w:ind/>
            </w:pPr>
            <w:r>
              <w:t xml:space="preserve">1.新增：推广应用、流量来源、投放团队趋势图</w:t>
            </w:r>
          </w:p>
          <w:p>
            <w:pPr>
              <w:ind/>
            </w:pPr>
            <w:r>
              <w:t xml:space="preserve">2.时间区间：项目的全生命周期（项目最早查看时间-至今），如无最早查看时间，取前一年1月1号</w:t>
            </w:r>
          </w:p>
          <w:p>
            <w:pPr>
              <w:ind/>
            </w:pPr>
            <w:r>
              <w:t xml:space="preserve">3.展示指标：激活数</w:t>
            </w:r>
          </w:p>
          <w:p>
            <w:pPr>
              <w:ind/>
            </w:pPr>
            <w:r>
              <w:t xml:space="preserve">4.展示颗粒度：展示到月</w:t>
            </w:r>
          </w:p>
          <w:p>
            <w:pPr>
              <w:ind/>
            </w:pPr>
            <w:r>
              <w:t xml:space="preserve">5.统计范围：统计广告量</w:t>
            </w:r>
          </w:p>
          <w:p>
            <w:pPr>
              <w:ind/>
            </w:pPr>
            <w:r>
              <w:t xml:space="preserve">6.团队趋势图：未知团队不展示，单团队项目不展示投放团队趋势图</w:t>
            </w:r>
          </w:p>
          <w:p>
            <w:pPr>
              <w:ind/>
            </w:pPr>
            <w:r>
              <w:t xml:space="preserve">7.图下面文字的排列顺序：需要按激活数大-小排列展示</w:t>
            </w:r>
          </w:p>
        </w:tc>
        <w:tc>
          <w:tcPr>
            <w:tcW w:w="3739" w:type="dxa"/>
          </w:tcPr>
          <w:p>
            <w:pPr/>
            <w:r/>
            <w:r>
              <w:drawing>
                <wp:inline distT="0" distB="0" distL="0" distR="0">
                  <wp:extent cx="2209800" cy="1404144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2209800" cy="140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09800" cy="1312904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2209800" cy="1312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日周月报</w:t>
            </w:r>
          </w:p>
        </w:tc>
        <w:tc>
          <w:tcPr>
            <w:tcW w:w="5978" w:type="dxa"/>
          </w:tcPr>
          <w:p>
            <w:pPr>
              <w:ind/>
            </w:pPr>
            <w:r>
              <w:t xml:space="preserve">1.新增维度：日期+应用类型+团队、日期+应用类型+媒体、日期+媒体+团队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如单团队项目，仅展示日期+应用类型+媒体</w:t>
            </w:r>
          </w:p>
          <w:p>
            <w:pPr>
              <w:ind/>
            </w:pPr>
            <w:r>
              <w:t xml:space="preserve">2.新增指标：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日报：新增2-30日RO（累计口径）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周报：新增首周-15周ROI（累计口径）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月报：新增2月-12月ROI（累计口径）</w:t>
            </w:r>
          </w:p>
          <w:p>
            <w:pPr>
              <w:ind/>
            </w:pPr>
            <w:r>
              <w:t xml:space="preserve">3.默认指标调整：参考示意图指标</w:t>
            </w:r>
          </w:p>
          <w:p>
            <w:pPr>
              <w:ind/>
            </w:pPr>
            <w:r>
              <w:t xml:space="preserve">4.样式优化：细分平铺、增加目录栏</w:t>
            </w:r>
          </w:p>
        </w:tc>
        <w:tc>
          <w:tcPr>
            <w:tcW w:w="3739" w:type="dxa"/>
          </w:tcPr>
          <w:p>
            <w:pPr/>
            <w:r/>
            <w:hyperlink r:id="rId12">
              <w:r>
                <w:rPr>
                  <w:rStyle w:val="hyperlink"/>
                </w:rPr>
                <w:t xml:space="preserve">https://pixso.cn/app/design/S3mJhi4tqEa2s-lo50iNxA?page-id=36%3A1076</w:t>
              </w:r>
            </w:hyperlink>
            <w:r>
              <w:t xml:space="preserve"> 邀请您加入 Pixso 设计文件「v3.14.2-回推明细/手动回推/报表优化」</w:t>
            </w:r>
          </w:p>
          <w:p>
            <w:pPr/>
            <w:r/>
            <w:r>
              <w:drawing>
                <wp:inline distT="0" distB="0" distL="0" distR="0">
                  <wp:extent cx="2209800" cy="1082691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2209800" cy="108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指标自定义分组</w:t>
            </w:r>
          </w:p>
        </w:tc>
        <w:tc>
          <w:tcPr>
            <w:tcW w:w="5978" w:type="dxa"/>
          </w:tcPr>
          <w:p>
            <w:pPr/>
            <w:r>
              <w:t xml:space="preserve">1.全报表通用</w:t>
            </w:r>
          </w:p>
          <w:p>
            <w:pPr/>
            <w:r>
              <w:t xml:space="preserve">2.支持自定义指标分组</w:t>
            </w:r>
          </w:p>
          <w:p>
            <w:pPr/>
            <w:r>
              <w:t xml:space="preserve">3.默认指标组为系统默认分组，不支持删除</w:t>
            </w:r>
          </w:p>
          <w:p>
            <w:pPr/>
            <w:r>
              <w:t xml:space="preserve">4.用户自定义组可删除，不支持修改</w:t>
            </w:r>
          </w:p>
          <w:p>
            <w:pPr/>
            <w:r>
              <w:t xml:space="preserve">5.需按项目+用户+表格来进行保存</w:t>
            </w:r>
          </w:p>
        </w:tc>
        <w:tc>
          <w:tcPr>
            <w:tcW w:w="3739" w:type="dxa"/>
          </w:tcPr>
          <w:p>
            <w:pPr/>
            <w:r/>
            <w:hyperlink r:id="rId14">
              <w:r>
                <w:rPr>
                  <w:rStyle w:val="hyperlink"/>
                </w:rPr>
                <w:t xml:space="preserve">https://pixso.cn/app/design/S3mJhi4tqEa2s-lo50iNxA?page-id=36%3A1076</w:t>
              </w:r>
            </w:hyperlink>
            <w:r>
              <w:t xml:space="preserve"> 邀请您加入 Pixso 设计文件「v3.14.2-回推明细/手动回推/报表优化」</w:t>
            </w:r>
          </w:p>
          <w:p>
            <w:pPr/>
            <w:r/>
            <w:r>
              <w:drawing>
                <wp:inline distT="0" distB="0" distL="0" distR="0">
                  <wp:extent cx="2209800" cy="945100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2209800" cy="94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3255"/>
        </w:trPr>
        <w:tc>
          <w:tcPr>
            <w:tcW w:w="1502" w:type="dxa"/>
          </w:tcPr>
          <w:p>
            <w:pPr/>
            <w:r>
              <w:t xml:space="preserve">添加应用简化</w:t>
            </w:r>
          </w:p>
        </w:tc>
        <w:tc>
          <w:tcPr>
            <w:tcW w:w="5978" w:type="dxa"/>
          </w:tcPr>
          <w:p>
            <w:pPr>
              <w:ind/>
            </w:pPr>
            <w:r>
              <w:t xml:space="preserve">1.在项目*应用类型层级，支持配置出包模式是否标准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默认值：新项目新应用类型均为标准模式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支持修改</w:t>
            </w:r>
          </w:p>
          <w:p>
            <w:pPr/>
            <w:r/>
          </w:p>
          <w:p>
            <w:pPr/>
            <w:r>
              <w:t xml:space="preserve">2.标准模式和非标准模式下，添加应用页面不一样</w:t>
            </w:r>
          </w:p>
          <w:p>
            <w:pPr/>
            <w:r/>
          </w:p>
          <w:p>
            <w:pPr/>
            <w:r>
              <w:t xml:space="preserve">3.标准模式：</w:t>
            </w:r>
          </w:p>
          <w:p>
            <w:pPr/>
            <w:r>
              <w:t xml:space="preserve">用户需填写字段：参考示意图</w:t>
            </w:r>
          </w:p>
          <w:p>
            <w:pPr/>
            <w:r>
              <w:t xml:space="preserve">其余字段不给用户填写，且设置默认值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渠道包投放：均打开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推广用途：混合推广（多媒体推广）——点击归因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是否统计自然量：仅官方包统计自然量，其他包不统计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官方包定义：获取项目中心渠道包表，里面分类为官方的包。需排除310004、310005两个包</w:t>
            </w:r>
          </w:p>
          <w:p>
            <w:pPr>
              <w:ind/>
            </w:pPr>
            <w:r/>
          </w:p>
          <w:p>
            <w:pPr>
              <w:ind/>
            </w:pPr>
            <w:r>
              <w:t xml:space="preserve">4.非标准模式：用户自定义填写</w:t>
            </w:r>
          </w:p>
        </w:tc>
        <w:tc>
          <w:tcPr>
            <w:tcW w:w="3739" w:type="dxa"/>
          </w:tcPr>
          <w:p>
            <w:pPr/>
            <w:r/>
            <w:hyperlink r:id="rId16">
              <w:r>
                <w:rPr>
                  <w:rStyle w:val="hyperlink"/>
                </w:rPr>
                <w:t xml:space="preserve">https://pixso.cn/app/design/S3mJhi4tqEa2s-lo50iNxA?page-id=36%3A1076</w:t>
              </w:r>
            </w:hyperlink>
            <w:r>
              <w:t xml:space="preserve"> 邀请您加入 Pixso 设计文件「v3.14.2-回推明细/手动回推/报表优化」</w:t>
            </w:r>
          </w:p>
          <w:p>
            <w:pPr/>
            <w:r/>
            <w:r>
              <w:drawing>
                <wp:inline distT="0" distB="0" distL="0" distR="0">
                  <wp:extent cx="2209800" cy="770560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2209800" cy="7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素材预览提示</w:t>
            </w:r>
          </w:p>
        </w:tc>
        <w:tc>
          <w:tcPr>
            <w:tcW w:w="5978" w:type="dxa"/>
          </w:tcPr>
          <w:p>
            <w:pPr/>
            <w:r>
              <w:t xml:space="preserve">1.判断方式：Head资源检测状态码，http 状态码 &gt;=200 且 &lt;400 认为是可用的，其他情况认为不可用，不可用时打开落地页展示提示文字</w:t>
            </w:r>
          </w:p>
          <w:p>
            <w:pPr/>
            <w:r>
              <w:t xml:space="preserve">2.展示文字：素材已过期，无法预览。请将素材归档到智投素材库，归档后可正常预览。</w:t>
            </w:r>
          </w:p>
          <w:p>
            <w:pPr/>
            <w:r>
              <w:t xml:space="preserve">3.智投素材库添加超链接，定向到智投素材库页面</w:t>
            </w:r>
          </w:p>
        </w:tc>
        <w:tc>
          <w:tcPr>
            <w:tcW w:w="3739" w:type="dxa"/>
          </w:tcPr>
          <w:p>
            <w:pPr/>
            <w:r/>
            <w:r>
              <w:drawing>
                <wp:inline distT="0" distB="0" distL="0" distR="0">
                  <wp:extent cx="2209800" cy="764148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2209800" cy="76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pPr/>
      <w:r/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回推明细-筛选说明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35"/>
        <w:gridCol w:w="1305"/>
        <w:gridCol w:w="3570"/>
        <w:gridCol w:w="3720"/>
        <w:gridCol w:w="1365"/>
        <w:gridCol w:w="1305"/>
        <w:gridCol w:w="3315"/>
      </w:tblGrid>
      <w:tr>
        <w:trPr>
          <w:trHeight w:val="0"/>
        </w:trPr>
        <w:tc>
          <w:tcPr>
            <w:tcW w:w="133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页面</w:t>
            </w:r>
          </w:p>
        </w:tc>
        <w:tc>
          <w:tcPr>
            <w:tcW w:w="130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筛选指标</w:t>
            </w:r>
          </w:p>
        </w:tc>
        <w:tc>
          <w:tcPr>
            <w:tcW w:w="357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对接（字段[字典]）</w:t>
            </w:r>
          </w:p>
        </w:tc>
        <w:tc>
          <w:tcPr>
            <w:tcW w:w="372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可选项/输入项</w:t>
            </w:r>
          </w:p>
        </w:tc>
        <w:tc>
          <w:tcPr>
            <w:tcW w:w="136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单选/多选</w:t>
            </w:r>
          </w:p>
        </w:tc>
        <w:tc>
          <w:tcPr>
            <w:tcW w:w="130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默认选项</w:t>
            </w:r>
          </w:p>
        </w:tc>
        <w:tc>
          <w:tcPr>
            <w:tcW w:w="331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335" w:type="dxa"/>
            <w:vMerge w:val="restart"/>
            <w:vAlign w:val="center"/>
          </w:tcPr>
          <w:p>
            <w:pPr/>
            <w:r>
              <w:t xml:space="preserve">全局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data_time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仅支持往前选30天，更早日期置灰，需支持到秒的筛选</w:t>
            </w:r>
          </w:p>
          <w:p>
            <w:pPr/>
            <w:r>
              <w:t xml:space="preserve">默认近一小时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-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近1h</w:t>
            </w:r>
          </w:p>
        </w:tc>
        <w:tc>
          <w:tcPr>
            <w:tcW w:w="3315" w:type="dxa"/>
            <w:vAlign w:val="center"/>
          </w:tcPr>
          <w:p>
            <w:pPr/>
            <w:r/>
          </w:p>
        </w:tc>
      </w:tr>
      <w:tr>
        <w:trPr>
          <w:trHeight w:val="138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应用类型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app_package_type</w:t>
            </w:r>
          </w:p>
          <w:p>
            <w:pPr/>
            <w:r>
              <w:t xml:space="preserve">[appPackageType]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不限、安卓、IOS、微信小游戏、抖音小游戏、快手小游戏、支付宝小游戏、PC、web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单选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不限</w:t>
            </w:r>
          </w:p>
        </w:tc>
        <w:tc>
          <w:tcPr>
            <w:tcW w:w="3315" w:type="dxa"/>
            <w:vAlign w:val="center"/>
          </w:tcPr>
          <w:p>
            <w:pPr/>
            <w:r>
              <w:t xml:space="preserve">根据项目类型控制展示选项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18"/>
              </w:rPr>
              <w:t xml:space="preserve">APP项目：展示安卓、IOS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18"/>
              </w:rPr>
              <w:t xml:space="preserve">H5项目：展示微信小游戏、抖音小游戏、快手小游戏、支付宝小游戏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18"/>
              </w:rPr>
              <w:t xml:space="preserve">PC项目：展示PC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18"/>
              </w:rPr>
              <w:t xml:space="preserve">web项目：展示web</w:t>
            </w:r>
          </w:p>
        </w:tc>
      </w:tr>
      <w:tr>
        <w:trPr>
          <w:trHeight w:val="0"/>
        </w:trPr>
        <w:tc>
          <w:tcPr>
            <w:tcW w:w="1335" w:type="dxa"/>
            <w:vMerge w:val="restart"/>
            <w:vAlign w:val="center"/>
          </w:tcPr>
          <w:p>
            <w:pPr/>
            <w:r>
              <w:t xml:space="preserve">激活/次留</w:t>
            </w:r>
          </w:p>
        </w:tc>
        <w:tc>
          <w:tcPr>
            <w:tcW w:w="1305" w:type="dxa"/>
            <w:vMerge w:val="restart"/>
            <w:vAlign w:val="center"/>
          </w:tcPr>
          <w:p>
            <w:pPr/>
            <w:r>
              <w:t xml:space="preserve">设备信息</w:t>
            </w:r>
          </w:p>
        </w:tc>
        <w:tc>
          <w:tcPr>
            <w:tcW w:w="3570" w:type="dxa"/>
            <w:vMerge w:val="restart"/>
            <w:vAlign w:val="center"/>
          </w:tcPr>
          <w:p>
            <w:pPr/>
            <w:r>
              <w:t xml:space="preserve">oaid</w:t>
            </w:r>
          </w:p>
          <w:p>
            <w:pPr/>
            <w:r>
              <w:t xml:space="preserve">caid</w:t>
            </w:r>
          </w:p>
          <w:p>
            <w:pPr/>
            <w:r>
              <w:t xml:space="preserve">idfa</w:t>
            </w:r>
          </w:p>
          <w:p>
            <w:pPr/>
            <w:r>
              <w:t xml:space="preserve">idfv</w:t>
            </w:r>
          </w:p>
          <w:p>
            <w:pPr/>
            <w:r>
              <w:t xml:space="preserve">open_id</w:t>
            </w:r>
          </w:p>
          <w:p>
            <w:pPr/>
            <w:r>
              <w:t xml:space="preserve">device_id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无</w:t>
            </w:r>
          </w:p>
        </w:tc>
        <w:tc>
          <w:tcPr>
            <w:tcW w:w="3315" w:type="dxa"/>
            <w:vAlign w:val="center"/>
          </w:tcPr>
          <w:p>
            <w:pPr/>
            <w:r>
              <w:t xml:space="preserve">APP项目时展示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3720" w:type="dxa"/>
            <w:vAlign w:val="center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无</w:t>
            </w:r>
          </w:p>
        </w:tc>
        <w:tc>
          <w:tcPr>
            <w:tcW w:w="3315" w:type="dxa"/>
            <w:vAlign w:val="center"/>
          </w:tcPr>
          <w:p>
            <w:pPr/>
            <w:r>
              <w:t xml:space="preserve">APP项目时展示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3720" w:type="dxa"/>
            <w:vAlign w:val="center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无</w:t>
            </w:r>
          </w:p>
        </w:tc>
        <w:tc>
          <w:tcPr>
            <w:tcW w:w="3315" w:type="dxa"/>
            <w:vAlign w:val="center"/>
          </w:tcPr>
          <w:p>
            <w:pPr/>
            <w:r>
              <w:t xml:space="preserve">APP项目时展示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3720" w:type="dxa"/>
            <w:vAlign w:val="center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无</w:t>
            </w:r>
          </w:p>
        </w:tc>
        <w:tc>
          <w:tcPr>
            <w:tcW w:w="3315" w:type="dxa"/>
            <w:vAlign w:val="center"/>
          </w:tcPr>
          <w:p>
            <w:pPr/>
            <w:r>
              <w:t xml:space="preserve">APP项目时展示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3720" w:type="dxa"/>
            <w:vAlign w:val="center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无</w:t>
            </w:r>
          </w:p>
        </w:tc>
        <w:tc>
          <w:tcPr>
            <w:tcW w:w="331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</w:tcPr>
          <w:p>
            <w:pPr/>
            <w:r>
              <w:t xml:space="preserve">次留</w:t>
            </w:r>
          </w:p>
        </w:tc>
        <w:tc>
          <w:tcPr>
            <w:tcW w:w="1305" w:type="dxa"/>
          </w:tcPr>
          <w:p>
            <w:pPr/>
            <w:r>
              <w:t xml:space="preserve">设备信息</w:t>
            </w:r>
          </w:p>
        </w:tc>
        <w:tc>
          <w:tcPr>
            <w:tcW w:w="3570" w:type="dxa"/>
          </w:tcPr>
          <w:p>
            <w:pPr/>
            <w:r>
              <w:t xml:space="preserve">oaid</w:t>
            </w:r>
          </w:p>
          <w:p>
            <w:pPr/>
            <w:r>
              <w:t xml:space="preserve">caid</w:t>
            </w:r>
          </w:p>
          <w:p>
            <w:pPr/>
            <w:r>
              <w:t xml:space="preserve">idfa</w:t>
            </w:r>
          </w:p>
          <w:p>
            <w:pPr/>
            <w:r>
              <w:t xml:space="preserve">idfv</w:t>
            </w:r>
          </w:p>
          <w:p>
            <w:pPr/>
            <w:r>
              <w:t xml:space="preserve">open_id</w:t>
            </w:r>
          </w:p>
          <w:p>
            <w:pPr/>
            <w:r>
              <w:t xml:space="preserve">device_id</w:t>
            </w:r>
          </w:p>
          <w:p>
            <w:pPr/>
            <w:r>
              <w:t xml:space="preserve">user_id</w:t>
            </w:r>
          </w:p>
        </w:tc>
        <w:tc>
          <w:tcPr>
            <w:tcW w:w="3720" w:type="dxa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  <w:vMerge w:val="restart"/>
            <w:vAlign w:val="center"/>
          </w:tcPr>
          <w:p>
            <w:pPr/>
            <w:r>
              <w:t xml:space="preserve">注册/付费/关键行为</w:t>
            </w:r>
          </w:p>
        </w:tc>
        <w:tc>
          <w:tcPr>
            <w:tcW w:w="1305" w:type="dxa"/>
            <w:vMerge w:val="restart"/>
            <w:vAlign w:val="center"/>
          </w:tcPr>
          <w:p>
            <w:pPr/>
            <w:r>
              <w:t xml:space="preserve">设备信息</w:t>
            </w:r>
          </w:p>
        </w:tc>
        <w:tc>
          <w:tcPr>
            <w:tcW w:w="3570" w:type="dxa"/>
            <w:vMerge w:val="restart"/>
            <w:vAlign w:val="center"/>
          </w:tcPr>
          <w:p>
            <w:pPr/>
            <w:r>
              <w:t xml:space="preserve">user_id</w:t>
            </w:r>
          </w:p>
          <w:p>
            <w:pPr/>
            <w:r>
              <w:t xml:space="preserve">device_id</w:t>
            </w:r>
          </w:p>
        </w:tc>
        <w:tc>
          <w:tcPr>
            <w:tcW w:w="9705" w:type="dxa"/>
            <w:gridSpan w:val="4"/>
            <w:vMerge w:val="restart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</w:tcPr>
          <w:p>
            <w:pPr/>
            <w:r>
              <w:t xml:space="preserve">激活/次留/注册/付费/关键行为</w:t>
            </w:r>
          </w:p>
        </w:tc>
        <w:tc>
          <w:tcPr>
            <w:tcW w:w="1305" w:type="dxa"/>
          </w:tcPr>
          <w:p>
            <w:pPr/>
            <w:r>
              <w:t xml:space="preserve">归因媒体</w:t>
            </w:r>
          </w:p>
        </w:tc>
        <w:tc>
          <w:tcPr>
            <w:tcW w:w="3570" w:type="dxa"/>
          </w:tcPr>
          <w:p>
            <w:pPr/>
            <w:r>
              <w:t xml:space="preserve">全部媒体列表</w:t>
            </w:r>
          </w:p>
        </w:tc>
        <w:tc>
          <w:tcPr>
            <w:tcW w:w="3720" w:type="dxa"/>
          </w:tcPr>
          <w:p>
            <w:pPr/>
            <w:r/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回推媒体</w:t>
            </w:r>
          </w:p>
        </w:tc>
        <w:tc>
          <w:tcPr>
            <w:tcW w:w="3570" w:type="dxa"/>
          </w:tcPr>
          <w:p>
            <w:pPr/>
            <w:r>
              <w:t xml:space="preserve">全部媒体列表</w:t>
            </w:r>
          </w:p>
        </w:tc>
        <w:tc>
          <w:tcPr>
            <w:tcW w:w="3720" w:type="dxa"/>
          </w:tcPr>
          <w:p>
            <w:pPr/>
            <w:r/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</w:tcPr>
          <w:p>
            <w:pPr/>
            <w:r>
              <w:t xml:space="preserve">...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570" w:type="dxa"/>
          </w:tcPr>
          <w:p>
            <w:pPr/>
            <w:r/>
          </w:p>
        </w:tc>
        <w:tc>
          <w:tcPr>
            <w:tcW w:w="3720" w:type="dxa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</w:tbl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回推明细页面权限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455"/>
        <w:gridCol w:w="795"/>
        <w:gridCol w:w="1260"/>
        <w:gridCol w:w="1620"/>
        <w:gridCol w:w="1110"/>
        <w:gridCol w:w="960"/>
        <w:gridCol w:w="1215"/>
        <w:gridCol w:w="1125"/>
        <w:gridCol w:w="1395"/>
      </w:tblGrid>
      <w:tr>
        <w:trPr>
          <w:trHeight w:val="1005"/>
        </w:trPr>
        <w:tc>
          <w:tcPr>
            <w:tcW w:w="145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功能权限</w:t>
            </w:r>
          </w:p>
        </w:tc>
        <w:tc>
          <w:tcPr>
            <w:tcW w:w="79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超管</w:t>
            </w:r>
          </w:p>
        </w:tc>
        <w:tc>
          <w:tcPr>
            <w:tcW w:w="126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系统运营</w:t>
            </w:r>
          </w:p>
        </w:tc>
        <w:tc>
          <w:tcPr>
            <w:tcW w:w="162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优化师主管</w:t>
            </w:r>
          </w:p>
        </w:tc>
        <w:tc>
          <w:tcPr>
            <w:tcW w:w="111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优化师</w:t>
            </w:r>
          </w:p>
        </w:tc>
        <w:tc>
          <w:tcPr>
            <w:tcW w:w="96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观察员</w:t>
            </w:r>
          </w:p>
        </w:tc>
        <w:tc>
          <w:tcPr>
            <w:tcW w:w="121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设计师主管</w:t>
            </w:r>
          </w:p>
        </w:tc>
        <w:tc>
          <w:tcPr>
            <w:tcW w:w="112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设计师</w:t>
            </w:r>
          </w:p>
        </w:tc>
        <w:tc>
          <w:tcPr>
            <w:tcW w:w="139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KOL运营</w:t>
            </w:r>
          </w:p>
        </w:tc>
      </w:tr>
      <w:tr>
        <w:trPr>
          <w:trHeight w:val="0"/>
        </w:trPr>
        <w:tc>
          <w:tcPr>
            <w:tcW w:w="1455" w:type="dxa"/>
            <w:vAlign w:val="center"/>
          </w:tcPr>
          <w:p>
            <w:pPr/>
            <w:r>
              <w:t xml:space="preserve">回推细查-页面查看</w:t>
            </w:r>
          </w:p>
        </w:tc>
        <w:tc>
          <w:tcPr>
            <w:tcW w:w="795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26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62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11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96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21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2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395" w:type="dxa"/>
            <w:vAlign w:val="center"/>
          </w:tcPr>
          <w:p>
            <w:pPr/>
            <w:r>
              <w:t xml:space="preserve">❌</w:t>
            </w:r>
          </w:p>
        </w:tc>
      </w:tr>
      <w:tr>
        <w:trPr>
          <w:trHeight w:val="0"/>
        </w:trPr>
        <w:tc>
          <w:tcPr>
            <w:tcW w:w="1455" w:type="dxa"/>
            <w:vAlign w:val="center"/>
          </w:tcPr>
          <w:p>
            <w:pPr/>
            <w:r>
              <w:t xml:space="preserve">回推细查-导出</w:t>
            </w:r>
          </w:p>
        </w:tc>
        <w:tc>
          <w:tcPr>
            <w:tcW w:w="795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26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620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10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960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21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2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395" w:type="dxa"/>
            <w:vAlign w:val="center"/>
          </w:tcPr>
          <w:p>
            <w:pPr/>
            <w:r>
              <w:t xml:space="preserve">❌</w:t>
            </w:r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1">
    <w:abstractNumId w:val="0"/>
  </w:num>
  <w:num w:numId="2">
    <w:abstractNumId w:val="1"/>
  </w:num>
  <w:num w:numId="4">
    <w:abstractNumId w:val="3"/>
  </w:num>
  <w:num w:numId="5">
    <w:abstractNumId w:val="4"/>
  </w:num>
  <w:num w:numId="7">
    <w:abstractNumId w:val="6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yO8yVbu4Xv5p6Ad9nL1?iframeQuery=anchorId%253DX02mjaw9a4x7uphyi8obl" TargetMode="External" />
  <Relationship Id="rId5" Type="http://schemas.openxmlformats.org/officeDocument/2006/relationships/hyperlink" Target="https://pixso.cn/app/design/S3mJhi4tqEa2s-lo50iNxA?page-id=36%3A1076" TargetMode="External" />
  <Relationship Id="rId6" Type="http://schemas.openxmlformats.org/officeDocument/2006/relationships/image" Target="media/image1.png" />
  <Relationship Id="rId7" Type="http://schemas.openxmlformats.org/officeDocument/2006/relationships/hyperlink" Target="https://docs.xiaoshanim.com/i/nodes/7gNKMlbrq3WXAyO8yVbu4Xv5p6Ad9nL1?iframeQuery=anchorId%253DX02mjjparyh8utb6l2duo9" TargetMode="External" />
  <Relationship Id="rId8" Type="http://schemas.openxmlformats.org/officeDocument/2006/relationships/image" Target="media/image2.png" />
  <Relationship Id="rId9" Type="http://schemas.openxmlformats.org/officeDocument/2006/relationships/image" Target="media/image3.png" />
  <Relationship Id="rId10" Type="http://schemas.openxmlformats.org/officeDocument/2006/relationships/image" Target="media/image4.png" />
  <Relationship Id="rId11" Type="http://schemas.openxmlformats.org/officeDocument/2006/relationships/image" Target="media/image5.png" />
  <Relationship Id="rId12" Type="http://schemas.openxmlformats.org/officeDocument/2006/relationships/hyperlink" Target="https://pixso.cn/app/design/S3mJhi4tqEa2s-lo50iNxA?page-id=36%3A1076" TargetMode="External" />
  <Relationship Id="rId13" Type="http://schemas.openxmlformats.org/officeDocument/2006/relationships/image" Target="media/image6.png" />
  <Relationship Id="rId14" Type="http://schemas.openxmlformats.org/officeDocument/2006/relationships/hyperlink" Target="https://pixso.cn/app/design/S3mJhi4tqEa2s-lo50iNxA?page-id=36%3A1076" TargetMode="External" />
  <Relationship Id="rId15" Type="http://schemas.openxmlformats.org/officeDocument/2006/relationships/image" Target="media/image7.png" />
  <Relationship Id="rId16" Type="http://schemas.openxmlformats.org/officeDocument/2006/relationships/hyperlink" Target="https://pixso.cn/app/design/S3mJhi4tqEa2s-lo50iNxA?page-id=36%3A1076" TargetMode="External" />
  <Relationship Id="rId17" Type="http://schemas.openxmlformats.org/officeDocument/2006/relationships/image" Target="media/image8.png" />
  <Relationship Id="rId18" Type="http://schemas.openxmlformats.org/officeDocument/2006/relationships/image" Target="media/image9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