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V3.14.7-鸿蒙对接华为商店/限定付费次数回推/3年ROI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ind/>
      </w:pPr>
      <w:r>
        <w:t xml:space="preserve">1.三国杀移动版、一将需要投鸿蒙系统，期望能够衡量广告效果</w:t>
      </w:r>
    </w:p>
    <w:p>
      <w:pPr>
        <w:ind/>
      </w:pPr>
      <w:r>
        <w:t xml:space="preserve">2.春节期望能够在华为商店投手杀</w:t>
      </w:r>
    </w:p>
    <w:p>
      <w:pPr>
        <w:ind/>
      </w:pPr>
      <w:r>
        <w:t xml:space="preserve">3.公司尝试短剧方向，期望能够接收短剧的广告点击数据，用于后续的数据分析。</w:t>
      </w:r>
    </w:p>
    <w:p>
      <w:pPr/>
      <w:r>
        <w:t xml:space="preserve">4.勇士X-app需要投腾讯，需要支持iOS融合归因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1.支持三国杀移动版、一将的鸿蒙在春节期间投华为商店（期望2.9上线）</w:t>
      </w:r>
    </w:p>
    <w:p>
      <w:pPr/>
      <w:r>
        <w:t xml:space="preserve">2.支持短剧推广中的广告点击数据接收</w:t>
      </w:r>
    </w:p>
    <w:p>
      <w:pPr/>
      <w:r>
        <w:t xml:space="preserve">3.支持勇士X-app的iOS投放腾讯媒体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215"/>
        <w:gridCol w:w="6225"/>
        <w:gridCol w:w="990"/>
        <w:gridCol w:w="105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备注</w:t>
            </w:r>
          </w:p>
        </w:tc>
      </w:tr>
      <w:tr>
        <w:trPr>
          <w:trHeight w:val="99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１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应用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新增鸿蒙系统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２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预处理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三国杀移动版、一将鸿蒙事件接入（处理应用类型等字段）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1005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３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活动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支持鸿蒙创建华为商店、惊鸿的监测链接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４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监测配置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支持设置回溯期，默认七天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5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归因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支持激活、注册、付费、关键行为归因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6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支持激活、注册、付费回推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7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报表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兼容鸿蒙的数据，并支持筛选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8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数据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历史数据初始化（如有历史数据，需要初始化）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9</w:t>
            </w:r>
          </w:p>
        </w:tc>
        <w:tc>
          <w:tcPr>
            <w:tcW w:w="121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白名单</w:t>
            </w:r>
          </w:p>
        </w:tc>
        <w:tc>
          <w:tcPr>
            <w:tcW w:w="62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支持鸿蒙添加白名单</w:t>
            </w:r>
          </w:p>
        </w:tc>
        <w:tc>
          <w:tcPr>
            <w:tcW w:w="99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10</w:t>
            </w:r>
          </w:p>
        </w:tc>
        <w:tc>
          <w:tcPr>
            <w:tcW w:w="121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用户细查</w:t>
            </w:r>
          </w:p>
        </w:tc>
        <w:tc>
          <w:tcPr>
            <w:tcW w:w="62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用户细查增加鸿蒙数据</w:t>
            </w:r>
          </w:p>
        </w:tc>
        <w:tc>
          <w:tcPr>
            <w:tcW w:w="99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11</w:t>
            </w:r>
          </w:p>
        </w:tc>
        <w:tc>
          <w:tcPr>
            <w:tcW w:w="121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回推明细</w:t>
            </w:r>
          </w:p>
        </w:tc>
        <w:tc>
          <w:tcPr>
            <w:tcW w:w="62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回推增加鸿蒙数据</w:t>
            </w:r>
          </w:p>
        </w:tc>
        <w:tc>
          <w:tcPr>
            <w:tcW w:w="99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12</w:t>
            </w:r>
          </w:p>
        </w:tc>
        <w:tc>
          <w:tcPr>
            <w:tcW w:w="121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消耗导入</w:t>
            </w:r>
          </w:p>
        </w:tc>
        <w:tc>
          <w:tcPr>
            <w:tcW w:w="62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新增应用类型鸿蒙的消耗导入</w:t>
            </w:r>
          </w:p>
        </w:tc>
        <w:tc>
          <w:tcPr>
            <w:tcW w:w="99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13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回推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付费-回推数量支持按限定用户每日的付费次数</w:t>
            </w:r>
          </w:p>
          <w:p>
            <w:pPr/>
            <w:r>
              <w:rPr>
                <w:sz w:val="20"/>
                <w:color w:val="BFBFBF"/>
              </w:rPr>
              <w:t xml:space="preserve">##超过限定次数不回推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14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报表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ROI报表支持3年回本分析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P2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15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项目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项目支持添加[其他]类型的项目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新增</w:t>
            </w:r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16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监测活动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支持短剧类型创建监测活动，支持接收点击数据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新增</w:t>
            </w:r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17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归因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腾讯融合归因全量版支持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新增</w:t>
            </w:r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18</w:t>
            </w:r>
          </w:p>
        </w:tc>
        <w:tc>
          <w:tcPr>
            <w:tcW w:w="121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用户明细</w:t>
            </w:r>
          </w:p>
        </w:tc>
        <w:tc>
          <w:tcPr>
            <w:tcW w:w="622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增加腾讯融合归因结果</w:t>
            </w:r>
          </w:p>
        </w:tc>
        <w:tc>
          <w:tcPr>
            <w:tcW w:w="9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P1</w:t>
            </w:r>
          </w:p>
        </w:tc>
        <w:tc>
          <w:tcPr>
            <w:tcW w:w="105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ED7D33"/>
              </w:rPr>
              <w:t xml:space="preserve">新增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1.鸿蒙对接华为（需求1-12）</w:t>
      </w:r>
    </w:p>
    <w:p>
      <w:pPr/>
      <w:r>
        <w:t xml:space="preserve">原型：</w:t>
      </w:r>
      <w:hyperlink r:id="rId4">
        <w:r>
          <w:rPr>
            <w:sz w:val="24"/>
            <w:rStyle w:val="hyperlink"/>
          </w:rPr>
          <w:t xml:space="preserve">V3.14.8-鸿蒙对接华为-Pixso</w:t>
        </w:r>
      </w:hyperlink>
      <w:r/>
    </w:p>
    <w:p>
      <w:pPr/>
      <w:r/>
    </w:p>
    <w:p>
      <w:pPr/>
      <w:r>
        <w:rPr>
          <w:sz w:val="24"/>
        </w:rPr>
        <w:t xml:space="preserve">行为数据上报-鸿蒙类型预处理逻辑：</w:t>
      </w:r>
    </w:p>
    <w:p>
      <w:pPr>
        <w:numPr>
          <w:ilvl w:val="0"/>
          <w:numId w:val="1"/>
        </w:numPr>
      </w:pPr>
      <w:r>
        <w:rPr>
          <w:sz w:val="24"/>
        </w:rPr>
        <w:t xml:space="preserve">手杀：os_type=harmonyos/harmony，且channel=31001；忽略大小写</w:t>
      </w:r>
    </w:p>
    <w:p>
      <w:pPr>
        <w:numPr>
          <w:ilvl w:val="0"/>
          <w:numId w:val="1"/>
        </w:numPr>
      </w:pPr>
      <w:r>
        <w:rPr>
          <w:sz w:val="24"/>
        </w:rPr>
        <w:t xml:space="preserve">其他游戏：os_type=harmonyos/harmony；忽略大小写</w:t>
      </w:r>
    </w:p>
    <w:p>
      <w:pPr/>
      <w:r>
        <w:rPr>
          <w:sz w:val="24"/>
        </w:rPr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2.回推限定付费次数（需求13）</w:t>
      </w:r>
    </w:p>
    <w:p>
      <w:pPr/>
      <w:r/>
      <w:hyperlink r:id="rId5">
        <w:r>
          <w:rPr>
            <w:rStyle w:val="hyperlink"/>
          </w:rPr>
          <w:t xml:space="preserve">https://pixso.cn/app/design/rBIri9sLo-yYc_kvMdpBug?page-id=4%3A1</w:t>
        </w:r>
      </w:hyperlink>
      <w:r>
        <w:t xml:space="preserve"> 邀请您加入 Pixso 设计文件「v3.14.9-限定用户付费次数回推」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3.</w:t>
      </w:r>
      <w:r>
        <w:t xml:space="preserve">ROI报表支持3年回本分析（需求14）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740"/>
        <w:gridCol w:w="1995"/>
        <w:gridCol w:w="4710"/>
        <w:gridCol w:w="2490"/>
      </w:tblGrid>
      <w:tr>
        <w:trPr>
          <w:trHeight w:val="0"/>
        </w:trPr>
        <w:tc>
          <w:tcPr>
            <w:tcW w:w="1740" w:type="dxa"/>
            <w:vAlign w:val="center"/>
          </w:tcPr>
          <w:p>
            <w:pPr/>
            <w:r>
              <w:rPr>
                <w:b w:val="1"/>
              </w:rPr>
              <w:t xml:space="preserve">报表</w:t>
            </w:r>
          </w:p>
        </w:tc>
        <w:tc>
          <w:tcPr>
            <w:tcW w:w="1995" w:type="dxa"/>
            <w:vAlign w:val="center"/>
          </w:tcPr>
          <w:p>
            <w:pPr/>
            <w:r>
              <w:rPr>
                <w:b w:val="1"/>
              </w:rPr>
              <w:t xml:space="preserve">新增指标</w:t>
            </w:r>
          </w:p>
        </w:tc>
        <w:tc>
          <w:tcPr>
            <w:tcW w:w="4710" w:type="dxa"/>
            <w:vAlign w:val="center"/>
          </w:tcPr>
          <w:p>
            <w:pPr/>
            <w:r>
              <w:rPr>
                <w:b w:val="1"/>
              </w:rPr>
              <w:t xml:space="preserve">指标定义</w:t>
            </w:r>
          </w:p>
        </w:tc>
        <w:tc>
          <w:tcPr>
            <w:tcW w:w="2490" w:type="dxa"/>
            <w:vAlign w:val="center"/>
          </w:tcPr>
          <w:p>
            <w:pPr/>
            <w:r>
              <w:rPr>
                <w:b w:val="1"/>
              </w:rPr>
              <w:t xml:space="preserve">其他说明</w:t>
            </w:r>
          </w:p>
        </w:tc>
      </w:tr>
      <w:tr>
        <w:trPr>
          <w:trHeight w:val="0"/>
        </w:trPr>
        <w:tc>
          <w:tcPr>
            <w:tcW w:w="1740" w:type="dxa"/>
            <w:vAlign w:val="center"/>
          </w:tcPr>
          <w:p>
            <w:pPr/>
            <w:r>
              <w:t xml:space="preserve">ROI分析-按月</w:t>
            </w:r>
          </w:p>
        </w:tc>
        <w:tc>
          <w:tcPr>
            <w:tcW w:w="1995" w:type="dxa"/>
            <w:vAlign w:val="center"/>
          </w:tcPr>
          <w:p>
            <w:pPr/>
            <w:r>
              <w:t xml:space="preserve">13月ROI</w:t>
            </w:r>
          </w:p>
          <w:p>
            <w:pPr/>
            <w:r>
              <w:t xml:space="preserve">14月ROI</w:t>
            </w:r>
          </w:p>
          <w:p>
            <w:pPr/>
            <w:r>
              <w:t xml:space="preserve">15月ROI</w:t>
            </w:r>
          </w:p>
          <w:p>
            <w:pPr/>
            <w:r>
              <w:t xml:space="preserve">16月ROI</w:t>
            </w:r>
          </w:p>
          <w:p>
            <w:pPr/>
            <w:r>
              <w:t xml:space="preserve">17月ROI</w:t>
            </w:r>
          </w:p>
          <w:p>
            <w:pPr/>
            <w:r>
              <w:t xml:space="preserve">18月ROI</w:t>
            </w:r>
          </w:p>
          <w:p>
            <w:pPr/>
            <w:r>
              <w:t xml:space="preserve">19月ROI</w:t>
            </w:r>
          </w:p>
          <w:p>
            <w:pPr/>
            <w:r>
              <w:t xml:space="preserve">20月ROI</w:t>
            </w:r>
          </w:p>
          <w:p>
            <w:pPr/>
            <w:r>
              <w:t xml:space="preserve">21月ROI</w:t>
            </w:r>
          </w:p>
          <w:p>
            <w:pPr/>
            <w:r>
              <w:t xml:space="preserve">22月ROI</w:t>
            </w:r>
          </w:p>
          <w:p>
            <w:pPr/>
            <w:r>
              <w:t xml:space="preserve">23月ROI</w:t>
            </w:r>
          </w:p>
          <w:p>
            <w:pPr/>
            <w:r>
              <w:t xml:space="preserve">24月ROI</w:t>
            </w:r>
          </w:p>
          <w:p>
            <w:pPr/>
            <w:r>
              <w:t xml:space="preserve">25月ROI</w:t>
            </w:r>
          </w:p>
          <w:p>
            <w:pPr/>
            <w:r>
              <w:t xml:space="preserve">26月ROI</w:t>
            </w:r>
          </w:p>
          <w:p>
            <w:pPr/>
            <w:r>
              <w:t xml:space="preserve">27月ROI</w:t>
            </w:r>
          </w:p>
          <w:p>
            <w:pPr/>
            <w:r>
              <w:t xml:space="preserve">28月ROI</w:t>
            </w:r>
          </w:p>
          <w:p>
            <w:pPr/>
            <w:r>
              <w:t xml:space="preserve">29月ROI</w:t>
            </w:r>
          </w:p>
          <w:p>
            <w:pPr/>
            <w:r>
              <w:t xml:space="preserve">30月ROI</w:t>
            </w:r>
          </w:p>
          <w:p>
            <w:pPr/>
            <w:r>
              <w:t xml:space="preserve">31月ROI</w:t>
            </w:r>
          </w:p>
          <w:p>
            <w:pPr/>
            <w:r>
              <w:t xml:space="preserve">32月ROI</w:t>
            </w:r>
          </w:p>
          <w:p>
            <w:pPr/>
            <w:r>
              <w:t xml:space="preserve">33月ROI</w:t>
            </w:r>
          </w:p>
          <w:p>
            <w:pPr/>
            <w:r>
              <w:t xml:space="preserve">34月ROI</w:t>
            </w:r>
          </w:p>
          <w:p>
            <w:pPr/>
            <w:r>
              <w:t xml:space="preserve">35月ROI</w:t>
            </w:r>
          </w:p>
          <w:p>
            <w:pPr/>
            <w:r>
              <w:t xml:space="preserve">36月ROI</w:t>
            </w:r>
          </w:p>
        </w:tc>
        <w:tc>
          <w:tcPr>
            <w:tcW w:w="4710" w:type="dxa"/>
            <w:vAlign w:val="center"/>
          </w:tcPr>
          <w:p>
            <w:pPr/>
            <w:r>
              <w:t xml:space="preserve">累计ROI口径：</w:t>
            </w:r>
          </w:p>
          <w:p>
            <w:pPr/>
            <w:r>
              <w:t xml:space="preserve">累计N月的付费金额/第1月的折后消耗</w:t>
            </w:r>
          </w:p>
          <w:p>
            <w:pPr/>
            <w:r/>
          </w:p>
          <w:p>
            <w:pPr/>
            <w:r>
              <w:t xml:space="preserve">区间ROI口径：</w:t>
            </w:r>
          </w:p>
          <w:p>
            <w:pPr/>
            <w:r>
              <w:t xml:space="preserve">第N月的付费金额/第1月的折后消耗</w:t>
            </w:r>
          </w:p>
          <w:p>
            <w:pPr/>
            <w:r/>
          </w:p>
          <w:p>
            <w:pPr/>
            <w:r>
              <w:t xml:space="preserve">跨天汇总时，不完整的数据，消耗和付费金额都不纳入计算。</w:t>
            </w:r>
          </w:p>
          <w:p>
            <w:pPr/>
            <w:r/>
          </w:p>
          <w:p>
            <w:pPr/>
            <w:r>
              <w:t xml:space="preserve">累计ROI口径文字说明：累计N月的付费金额/第1月的折后消耗，跨天汇总时，不完整的数据，消耗和付费金额都不纳入计算。</w:t>
            </w:r>
          </w:p>
          <w:p>
            <w:pPr/>
            <w:r/>
          </w:p>
          <w:p>
            <w:pPr/>
            <w:r>
              <w:t xml:space="preserve">区间ROI口径文字说明：第N月的付费金额/第1月的折后消耗，跨天汇总时，不完整的数据，消耗和付费金额都不纳入计算。</w:t>
            </w:r>
          </w:p>
        </w:tc>
        <w:tc>
          <w:tcPr>
            <w:tcW w:w="2490" w:type="dxa"/>
            <w:vMerge w:val="restart"/>
            <w:vAlign w:val="center"/>
          </w:tcPr>
          <w:p>
            <w:pPr/>
            <w:r>
              <w:t xml:space="preserve">支持维度：应用类型、媒体、团队</w:t>
            </w:r>
          </w:p>
          <w:p>
            <w:pPr/>
            <w:r/>
          </w:p>
          <w:p>
            <w:pPr/>
            <w:r>
              <w:t xml:space="preserve">支持搜索：账户、广告组、广告、素材、活动、分包；</w:t>
            </w:r>
            <w:r>
              <w:rPr>
                <w:sz w:val="20"/>
                <w:color w:val="7E7F7F"/>
              </w:rPr>
              <w:t xml:space="preserve">其中账户、广告组、广告、素材只支持三大媒体解析</w:t>
            </w:r>
          </w:p>
          <w:p>
            <w:pPr/>
            <w:r>
              <w:rPr>
                <w:sz w:val="20"/>
                <w:color w:val="7E7F7F"/>
              </w:rPr>
            </w:r>
          </w:p>
          <w:p>
            <w:pPr/>
            <w:r>
              <w:rPr>
                <w:sz w:val="22"/>
              </w:rPr>
              <w:t xml:space="preserve">默认不展示</w:t>
            </w:r>
          </w:p>
          <w:p>
            <w:pPr/>
            <w:r>
              <w:rPr>
                <w:sz w:val="22"/>
              </w:rPr>
            </w:r>
          </w:p>
          <w:p>
            <w:pPr/>
            <w:r>
              <w:rPr>
                <w:sz w:val="22"/>
              </w:rPr>
              <w:t xml:space="preserve">位置：放到12后面</w:t>
            </w:r>
          </w:p>
        </w:tc>
      </w:tr>
      <w:tr>
        <w:trPr>
          <w:trHeight w:val="0"/>
        </w:trPr>
        <w:tc>
          <w:tcPr>
            <w:tcW w:w="1740" w:type="dxa"/>
            <w:vAlign w:val="center"/>
          </w:tcPr>
          <w:p>
            <w:pPr/>
            <w:r>
              <w:t xml:space="preserve">ROI分析-按月</w:t>
            </w:r>
          </w:p>
        </w:tc>
        <w:tc>
          <w:tcPr>
            <w:tcW w:w="1995" w:type="dxa"/>
            <w:vAlign w:val="center"/>
          </w:tcPr>
          <w:p>
            <w:pPr/>
            <w:r>
              <w:t xml:space="preserve">现金13月ROI</w:t>
            </w:r>
          </w:p>
          <w:p>
            <w:pPr/>
            <w:r>
              <w:t xml:space="preserve">现金14月ROI</w:t>
            </w:r>
          </w:p>
          <w:p>
            <w:pPr/>
            <w:r>
              <w:t xml:space="preserve">现金15月ROI</w:t>
            </w:r>
          </w:p>
          <w:p>
            <w:pPr/>
            <w:r>
              <w:t xml:space="preserve">现金16月ROI</w:t>
            </w:r>
          </w:p>
          <w:p>
            <w:pPr/>
            <w:r>
              <w:t xml:space="preserve">现金17月ROI</w:t>
            </w:r>
          </w:p>
          <w:p>
            <w:pPr/>
            <w:r>
              <w:t xml:space="preserve">现金18月ROI</w:t>
            </w:r>
          </w:p>
          <w:p>
            <w:pPr/>
            <w:r>
              <w:t xml:space="preserve">现金19月ROI</w:t>
            </w:r>
          </w:p>
          <w:p>
            <w:pPr/>
            <w:r>
              <w:t xml:space="preserve">现金20月ROI</w:t>
            </w:r>
          </w:p>
          <w:p>
            <w:pPr/>
            <w:r>
              <w:t xml:space="preserve">现金21月ROI</w:t>
            </w:r>
          </w:p>
          <w:p>
            <w:pPr/>
            <w:r>
              <w:t xml:space="preserve">现金22月ROI</w:t>
            </w:r>
          </w:p>
          <w:p>
            <w:pPr/>
            <w:r>
              <w:t xml:space="preserve">现金23月ROI</w:t>
            </w:r>
          </w:p>
          <w:p>
            <w:pPr/>
            <w:r>
              <w:t xml:space="preserve">现金24月ROI</w:t>
            </w:r>
          </w:p>
          <w:p>
            <w:pPr/>
            <w:r>
              <w:t xml:space="preserve">现金25月ROI</w:t>
            </w:r>
          </w:p>
          <w:p>
            <w:pPr/>
            <w:r>
              <w:t xml:space="preserve">现金26月ROI</w:t>
            </w:r>
          </w:p>
          <w:p>
            <w:pPr/>
            <w:r>
              <w:t xml:space="preserve">现金27月ROI</w:t>
            </w:r>
          </w:p>
          <w:p>
            <w:pPr/>
            <w:r>
              <w:t xml:space="preserve">现金28月ROI</w:t>
            </w:r>
          </w:p>
          <w:p>
            <w:pPr/>
            <w:r>
              <w:t xml:space="preserve">现金29月ROI</w:t>
            </w:r>
          </w:p>
          <w:p>
            <w:pPr/>
            <w:r>
              <w:t xml:space="preserve">现金30月ROI</w:t>
            </w:r>
          </w:p>
          <w:p>
            <w:pPr/>
            <w:r>
              <w:t xml:space="preserve">现金31月ROI</w:t>
            </w:r>
          </w:p>
          <w:p>
            <w:pPr/>
            <w:r>
              <w:t xml:space="preserve">现金32月ROI</w:t>
            </w:r>
          </w:p>
          <w:p>
            <w:pPr/>
            <w:r>
              <w:t xml:space="preserve">现金33月ROI</w:t>
            </w:r>
          </w:p>
          <w:p>
            <w:pPr/>
            <w:r>
              <w:t xml:space="preserve">现金34月ROI</w:t>
            </w:r>
          </w:p>
          <w:p>
            <w:pPr/>
            <w:r>
              <w:t xml:space="preserve">现金35月ROI</w:t>
            </w:r>
          </w:p>
          <w:p>
            <w:pPr/>
            <w:r>
              <w:t xml:space="preserve">现金36月ROI</w:t>
            </w:r>
          </w:p>
        </w:tc>
        <w:tc>
          <w:tcPr>
            <w:tcW w:w="4710" w:type="dxa"/>
            <w:vAlign w:val="center"/>
          </w:tcPr>
          <w:p>
            <w:pPr/>
            <w:r>
              <w:t xml:space="preserve">累计ROI口径：</w:t>
            </w:r>
          </w:p>
          <w:p>
            <w:pPr/>
            <w:r>
              <w:t xml:space="preserve">累计N月的付费金额/第1月的现金折后消耗</w:t>
            </w:r>
          </w:p>
          <w:p>
            <w:pPr/>
            <w:r/>
          </w:p>
          <w:p>
            <w:pPr/>
            <w:r>
              <w:t xml:space="preserve">区间ROI口径：</w:t>
            </w:r>
          </w:p>
          <w:p>
            <w:pPr/>
            <w:r>
              <w:t xml:space="preserve">第N月的付费金额/第1月的现金折后消耗</w:t>
            </w:r>
          </w:p>
          <w:p>
            <w:pPr/>
            <w:r/>
          </w:p>
          <w:p>
            <w:pPr/>
            <w:r>
              <w:t xml:space="preserve">跨天汇总时，不完整的数据，消耗和付费金额都不纳入计算。</w:t>
            </w:r>
          </w:p>
          <w:p>
            <w:pPr/>
            <w:r/>
          </w:p>
          <w:p>
            <w:pPr/>
            <w:r>
              <w:t xml:space="preserve">累计ROI口径文字说明：累计N月的付费金额/第1月的现金折后消耗，跨天汇总时，不完整的数据，消耗和付费金额都不纳入计算。</w:t>
            </w:r>
          </w:p>
          <w:p>
            <w:pPr/>
            <w:r/>
          </w:p>
          <w:p>
            <w:pPr/>
            <w:r>
              <w:t xml:space="preserve">区间ROI口径文字说明：第N月的付费金额/第1月的现金折后消耗，跨天汇总时，不完整的数据，消耗和付费金额都不纳入计算。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</w:tbl>
    <w:p>
      <w:pPr/>
      <w:r>
        <w:t xml:space="preserve">为解决性能问题，可尝试以下方案</w:t>
      </w:r>
    </w:p>
    <w:p>
      <w:pPr/>
      <w:r>
        <w:t xml:space="preserve">（1）2-3年ROI不勾选时，后端不进行数据查询；勾选后才查询该数据</w:t>
      </w:r>
    </w:p>
    <w:p>
      <w:pPr>
        <w:numPr>
          <w:ilvl w:val="0"/>
          <w:numId w:val="2"/>
        </w:numPr>
      </w:pPr>
      <w:r>
        <w:t xml:space="preserve">且前端查询时增加提示语：正在查询13-36月长线ROI，会需要较长时间，请耐心等待。如您不需要查看该指标，可取消指标勾选。</w:t>
      </w:r>
    </w:p>
    <w:p>
      <w:pPr>
        <w:numPr>
          <w:ilvl w:val="0"/>
          <w:numId w:val="2"/>
        </w:numPr>
      </w:pPr>
      <w:r>
        <w:t xml:space="preserve">同时前端需要调整逻辑，数据查询时，指标支持再次勾选；勾选后再触发数据查询。</w:t>
      </w:r>
    </w:p>
    <w:p>
      <w:pPr>
        <w:ind/>
      </w:pPr>
      <w:r>
        <w:rPr>
          <w:color w:val="C10002"/>
          <w:b w:val="1"/>
        </w:rPr>
        <w:t xml:space="preserve">（2）2-3年ROIT直接落表，每次查询不用重新计算；年后全部指标落表，提升其他报表性能。（最终方案）</w:t>
      </w:r>
    </w:p>
    <w:p>
      <w:pPr>
        <w:ind/>
      </w:pPr>
      <w:r>
        <w:t xml:space="preserve">（3）页面如果实在加载有困难，可以优先支持导出功能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5.短剧监测链接支持/腾讯融合归因全量版（需求15-18）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147"/>
        <w:gridCol w:w="5332"/>
        <w:gridCol w:w="3740"/>
      </w:tblGrid>
      <w:tr>
        <w:trPr>
          <w:trHeight w:val="0"/>
        </w:trPr>
        <w:tc>
          <w:tcPr>
            <w:tcW w:w="2147" w:type="dxa"/>
            <w:vAlign w:val="center"/>
          </w:tcPr>
          <w:p>
            <w:pPr/>
            <w:r>
              <w:rPr>
                <w:b w:val="1"/>
              </w:rPr>
              <w:t xml:space="preserve">功能</w:t>
            </w:r>
          </w:p>
        </w:tc>
        <w:tc>
          <w:tcPr>
            <w:tcW w:w="5332" w:type="dxa"/>
            <w:vAlign w:val="center"/>
          </w:tcPr>
          <w:p>
            <w:pPr/>
            <w:r>
              <w:rPr>
                <w:b w:val="1"/>
              </w:rPr>
              <w:t xml:space="preserve">描述</w:t>
            </w:r>
          </w:p>
        </w:tc>
        <w:tc>
          <w:tcPr>
            <w:tcW w:w="3740" w:type="dxa"/>
            <w:vAlign w:val="center"/>
          </w:tcPr>
          <w:p>
            <w:pPr/>
            <w:r>
              <w:rPr>
                <w:b w:val="1"/>
              </w:rPr>
              <w:t xml:space="preserve">页面</w:t>
            </w:r>
          </w:p>
        </w:tc>
      </w:tr>
      <w:tr>
        <w:trPr>
          <w:trHeight w:val="0"/>
        </w:trPr>
        <w:tc>
          <w:tcPr>
            <w:tcW w:w="2147" w:type="dxa"/>
            <w:vAlign w:val="center"/>
          </w:tcPr>
          <w:p>
            <w:pPr/>
            <w:r>
              <w:t xml:space="preserve">1.项目支持添加[其他]类型的项目</w:t>
            </w:r>
          </w:p>
        </w:tc>
        <w:tc>
          <w:tcPr>
            <w:tcW w:w="5332" w:type="dxa"/>
            <w:vAlign w:val="center"/>
          </w:tcPr>
          <w:p>
            <w:pPr/>
            <w:r>
              <w:t xml:space="preserve">功能：项目下拉框新增[其他]类型的项目，支持添加</w:t>
            </w:r>
          </w:p>
          <w:p>
            <w:pPr/>
            <w:r/>
          </w:p>
          <w:p>
            <w:pPr/>
            <w:r>
              <w:t xml:space="preserve">字段：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项目ID：同步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发行范围：同步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项目别名：同步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项目状态：同步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终端类型：[其他]类型下的统一展示为其他</w:t>
            </w:r>
          </w:p>
        </w:tc>
        <w:tc>
          <w:tcPr>
            <w:tcW w:w="3740" w:type="dxa"/>
            <w:vAlign w:val="center"/>
          </w:tcPr>
          <w:p>
            <w:pPr/>
            <w:r/>
            <w:r>
              <w:drawing>
                <wp:inline distT="0" distB="0" distL="0" distR="0">
                  <wp:extent cx="2209800" cy="1260115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209800" cy="126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2147" w:type="dxa"/>
            <w:vAlign w:val="center"/>
          </w:tcPr>
          <w:p>
            <w:pPr/>
            <w:r>
              <w:t xml:space="preserve">2.支持短剧类型创建监测活动</w:t>
            </w:r>
          </w:p>
        </w:tc>
        <w:tc>
          <w:tcPr>
            <w:tcW w:w="5332" w:type="dxa"/>
            <w:vAlign w:val="center"/>
          </w:tcPr>
          <w:p>
            <w:pPr/>
            <w:r>
              <w:t xml:space="preserve">功能：支持短剧创建监测活动</w:t>
            </w:r>
          </w:p>
          <w:p>
            <w:pPr/>
            <w:r/>
          </w:p>
          <w:p>
            <w:pPr/>
            <w:r>
              <w:t xml:space="preserve">说明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应用类型：新增【短剧】，添加应用页面不新增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展示逻辑：仅展示在【其他】项目下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可选媒体：仅支持【巨量广告】、【B站广告】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下载方式：选中短剧后默认选中预约，其他场景默认下载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应用：预约模式下不选择应用 </w:t>
            </w:r>
          </w:p>
          <w:p>
            <w:pPr/>
            <w:r/>
          </w:p>
        </w:tc>
        <w:tc>
          <w:tcPr>
            <w:tcW w:w="3740" w:type="dxa"/>
            <w:vAlign w:val="center"/>
          </w:tcPr>
          <w:p>
            <w:pPr/>
            <w:r/>
            <w:r>
              <w:drawing>
                <wp:inline distT="0" distB="0" distL="0" distR="0">
                  <wp:extent cx="2209800" cy="2913877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2209800" cy="2913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2147" w:type="dxa"/>
            <w:vAlign w:val="center"/>
          </w:tcPr>
          <w:p>
            <w:pPr/>
            <w:r>
              <w:t xml:space="preserve">3.腾讯融合归因全量版支持</w:t>
            </w:r>
          </w:p>
        </w:tc>
        <w:tc>
          <w:tcPr>
            <w:tcW w:w="5332" w:type="dxa"/>
            <w:vAlign w:val="center"/>
          </w:tcPr>
          <w:p>
            <w:pPr/>
            <w:r>
              <w:t xml:space="preserve">全量融合归因下需判断是否需请求媒体结果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巨量：sdk_version&gt;= iOS_GSSDK_V2.16.2且游戏开启融合归因（无变化）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腾讯：sdk_version&gt;= iOS_GSSDK_V2.16.2且游戏开启融合归因（本次新增）</w:t>
            </w:r>
          </w:p>
          <w:p>
            <w:pPr>
              <w:numPr>
                <w:ilvl w:val="0"/>
                <w:numId w:val="5"/>
              </w:numPr>
            </w:pPr>
            <w:r>
              <w:rPr>
                <w:sz w:val="18"/>
                <w:color w:val="7E7F7F"/>
              </w:rPr>
              <w:t xml:space="preserve">备注：此逻辑适用于新游戏iOS对接腾讯，如老游戏需对接腾讯融合归因，需根据游戏版本号判断，本次时间紧张待后续支持</w:t>
            </w:r>
          </w:p>
          <w:p>
            <w:pPr/>
            <w:r/>
          </w:p>
          <w:p>
            <w:pPr/>
            <w:r>
              <w:t xml:space="preserve">游戏开启融合归因的配置</w:t>
            </w:r>
          </w:p>
          <w:p>
            <w:pPr/>
            <w:r/>
            <w:r>
              <w:drawing>
                <wp:inline distT="0" distB="0" distL="0" distR="0">
                  <wp:extent cx="3219450" cy="512903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3219450" cy="512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740" w:type="dxa"/>
            <w:vAlign w:val="center"/>
          </w:tcPr>
          <w:p>
            <w:pPr/>
            <w:r/>
            <w:r>
              <w:drawing>
                <wp:inline distT="0" distB="0" distL="0" distR="0">
                  <wp:extent cx="2209800" cy="735589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2209800" cy="735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2147" w:type="dxa"/>
            <w:vAlign w:val="center"/>
          </w:tcPr>
          <w:p>
            <w:pPr/>
            <w:r>
              <w:t xml:space="preserve">4.增加腾讯融合归因结果</w:t>
            </w:r>
          </w:p>
        </w:tc>
        <w:tc>
          <w:tcPr>
            <w:tcW w:w="5332" w:type="dxa"/>
            <w:vAlign w:val="center"/>
          </w:tcPr>
          <w:p>
            <w:pPr/>
            <w:r>
              <w:t xml:space="preserve">页面：用户细查-激活</w:t>
            </w:r>
          </w:p>
          <w:p>
            <w:pPr/>
            <w:r>
              <w:t xml:space="preserve">（1）原【融合归因结果】更名为【巨量融合归因】</w:t>
            </w:r>
          </w:p>
          <w:p>
            <w:pPr/>
            <w:r>
              <w:t xml:space="preserve">（2）新增【腾讯融合归因】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位置：在【巨量融合归因】后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默认：不展示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内容：腾讯广告、其他</w:t>
            </w:r>
            <w:r>
              <w:rPr>
                <w:sz w:val="18"/>
                <w:color w:val="7E7F7F"/>
              </w:rPr>
              <w:t xml:space="preserve">（解释：有请求但未归因给腾讯）</w:t>
            </w:r>
            <w:r>
              <w:t xml:space="preserve">、-</w:t>
            </w:r>
            <w:r>
              <w:rPr>
                <w:sz w:val="18"/>
                <w:color w:val="7E7F7F"/>
              </w:rPr>
              <w:t xml:space="preserve">（解释：无请求腾讯融合归因）</w:t>
            </w:r>
          </w:p>
        </w:tc>
        <w:tc>
          <w:tcPr>
            <w:tcW w:w="3740" w:type="dxa"/>
            <w:vAlign w:val="center"/>
          </w:tcPr>
          <w:p>
            <w:pPr/>
            <w:r/>
            <w:r>
              <w:drawing>
                <wp:inline distT="0" distB="0" distL="0" distR="0">
                  <wp:extent cx="2190750" cy="897599"/>
                  <wp:effectExtent b="0" l="0" r="0" t="0"/>
                  <wp:docPr id="5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2190750" cy="89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五、媒体资料</w:t>
      </w:r>
    </w:p>
    <w:p>
      <w:pPr/>
      <w:r/>
      <w:hyperlink r:id="rId11">
        <w:r>
          <w:rPr>
            <w:rStyle w:val="hyperlink"/>
          </w:rPr>
          <w:t xml:space="preserve">https://developer.huawei.com/consumer/cn/doc/promotion/ads_gongjujiance_yy-0000001458784668</w:t>
        </w:r>
      </w:hyperlink>
      <w:r>
        <w:t xml:space="preserve">（鲸鸿广告归因）</w:t>
      </w:r>
    </w:p>
    <w:p>
      <w:pPr/>
      <w:r/>
      <w:hyperlink r:id="rId12">
        <w:r>
          <w:rPr>
            <w:rStyle w:val="hyperlink"/>
          </w:rPr>
          <w:t xml:space="preserve">https://developer.huawei.com/consumer/cn/doc/promotion/bp-hm-monitoring-link-0000002481479774#section1694535175515</w:t>
        </w:r>
      </w:hyperlink>
      <w:r>
        <w:t xml:space="preserve">（华为商店归因）</w:t>
      </w:r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6">
    <w:abstractNumId w:val="5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pixso.cn/app/design/e7TT7FK4B7lgMEqHPr9A4A?page-id=3%3A3041" TargetMode="External" />
  <Relationship Id="rId5" Type="http://schemas.openxmlformats.org/officeDocument/2006/relationships/hyperlink" Target="https://pixso.cn/app/design/rBIri9sLo-yYc_kvMdpBug?page-id=4%3A1" TargetMode="External" />
  <Relationship Id="rId6" Type="http://schemas.openxmlformats.org/officeDocument/2006/relationships/image" Target="media/image1.png" />
  <Relationship Id="rId7" Type="http://schemas.openxmlformats.org/officeDocument/2006/relationships/image" Target="media/image2.png" />
  <Relationship Id="rId8" Type="http://schemas.openxmlformats.org/officeDocument/2006/relationships/image" Target="media/image3.png" />
  <Relationship Id="rId9" Type="http://schemas.openxmlformats.org/officeDocument/2006/relationships/image" Target="media/image4.png" />
  <Relationship Id="rId10" Type="http://schemas.openxmlformats.org/officeDocument/2006/relationships/image" Target="media/image5.png" />
  <Relationship Id="rId11" Type="http://schemas.openxmlformats.org/officeDocument/2006/relationships/hyperlink" Target="https://developer.huawei.com/consumer/cn/doc/promotion/ads_gongjujiance_yy-0000001458784668" TargetMode="External" />
  <Relationship Id="rId12" Type="http://schemas.openxmlformats.org/officeDocument/2006/relationships/hyperlink" Target="https://developer.huawei.com/consumer/cn/doc/promotion/bp-hm-monitoring-link-0000002481479774#section1694535175515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