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V3.12.10-广州自定义回推支持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/>
      <w:r>
        <w:drawing>
          <wp:inline distT="0" distB="0" distL="0" distR="0">
            <wp:extent cx="7124700" cy="3198661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19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业务目标：支持广州16号可以进行付费测试</w:t>
      </w:r>
    </w:p>
    <w:p>
      <w:pPr/>
      <w:r>
        <w:t xml:space="preserve">产品目标：智投支持自定义回推规则，可实时回推，不走sql配置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90"/>
        <w:gridCol w:w="1335"/>
        <w:gridCol w:w="4980"/>
        <w:gridCol w:w="930"/>
      </w:tblGrid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V3.12.10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归因预处理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ind/>
            </w:pPr>
            <w:r>
              <w:t xml:space="preserve">MX3支持将首次通关作为付费回推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回推配置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虚拟付费事件支持配置回推金额和回推数量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四、需求描述</w:t>
      </w:r>
    </w:p>
    <w:p>
      <w:pPr/>
      <w:r>
        <w:t xml:space="preserve">游戏： MX3</w:t>
      </w:r>
    </w:p>
    <w:p>
      <w:pPr/>
      <w:r>
        <w:t xml:space="preserve">事件ID：220（通关第2关）</w:t>
      </w:r>
    </w:p>
    <w:p>
      <w:pPr/>
      <w:r>
        <w:t xml:space="preserve">改动说明：用户</w:t>
      </w:r>
      <w:r>
        <w:rPr>
          <w:b w:val="1"/>
        </w:rPr>
        <w:t xml:space="preserve">首次触发220</w:t>
      </w:r>
      <w:r>
        <w:t xml:space="preserve">时，归因预处理将该事件处理成虚拟事件9902（</w:t>
      </w:r>
      <w:r>
        <w:rPr>
          <w:color w:val="FE0300"/>
        </w:rPr>
        <w:t xml:space="preserve">本次新增</w:t>
      </w:r>
      <w:r>
        <w:t xml:space="preserve">）</w:t>
      </w:r>
    </w:p>
    <w:p>
      <w:pPr/>
      <w:r>
        <w:t xml:space="preserve">页面配置：虚拟付费事件支持配置回推金额和回推数量（</w:t>
      </w:r>
      <w:r>
        <w:rPr>
          <w:color w:val="FE0300"/>
        </w:rPr>
        <w:t xml:space="preserve">本次新增</w:t>
      </w:r>
      <w:r>
        <w:t xml:space="preserve">）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