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V3.12.7-前端优化</w:t>
      </w:r>
    </w:p>
    <w:p>
      <w:pPr>
        <w:pStyle w:val="dingding-heading1"/>
      </w:pPr>
      <w:r>
        <w:rPr>
          <w:color w:val="000000"/>
          <w:b w:val="1"/>
        </w:rPr>
        <w:t xml:space="preserve">一、目标</w:t>
      </w:r>
    </w:p>
    <w:p>
      <w:pPr/>
      <w:r>
        <w:t xml:space="preserve">提高报表看数体验，指间山海制作人反馈看数效率低。</w:t>
      </w:r>
    </w:p>
    <w:p>
      <w:pPr>
        <w:pStyle w:val="dingding-heading1"/>
      </w:pPr>
      <w:r>
        <w:rPr>
          <w:color w:val="000000"/>
          <w:b w:val="1"/>
        </w:rPr>
        <w:t xml:space="preserve">二、需求清单</w:t>
      </w:r>
    </w:p>
    <w:tbl>
      <w:tblPr>
        <w:tblStyle w:val="TableGrid"/>
        <w:tblW w:w="0" w:type="auto"/>
      </w:tblPr>
      <w:tblGrid>
        <w:gridCol w:w="810"/>
        <w:gridCol w:w="1290"/>
        <w:gridCol w:w="840"/>
        <w:gridCol w:w="840"/>
        <w:gridCol w:w="4845"/>
        <w:gridCol w:w="930"/>
        <w:gridCol w:w="930"/>
        <w:gridCol w:w="930"/>
        <w:gridCol w:w="1380"/>
      </w:tblGrid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9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规划版本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分类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484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  <w:b w:val="1"/>
              </w:rPr>
              <w:t xml:space="preserve">产品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  <w:b w:val="1"/>
              </w:rPr>
              <w:t xml:space="preserve">开发</w:t>
            </w:r>
          </w:p>
        </w:tc>
        <w:tc>
          <w:tcPr>
            <w:tcW w:w="138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  <w:b w:val="1"/>
              </w:rPr>
              <w:t xml:space="preserve">需求地址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</w:t>
            </w:r>
          </w:p>
        </w:tc>
        <w:tc>
          <w:tcPr>
            <w:tcW w:w="1290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V3.12.7</w:t>
            </w:r>
          </w:p>
          <w:p>
            <w:pPr>
              <w:jc w:val="center"/>
            </w:pPr>
            <w:r>
              <w:rPr>
                <w:color w:val="000000"/>
              </w:rPr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报表</w:t>
            </w:r>
          </w:p>
        </w:tc>
        <w:tc>
          <w:tcPr>
            <w:tcW w:w="48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饼图颜色调整/细分高亮/日周月报列宽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P2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李咏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前端</w:t>
            </w:r>
          </w:p>
        </w:tc>
        <w:tc>
          <w:tcPr>
            <w:tcW w:w="1380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hyperlink r:id="rId4">
              <w:r>
                <w:rPr>
                  <w:rStyle w:val="hyperlink"/>
                </w:rPr>
                <w:t xml:space="preserve">链接</w:t>
              </w:r>
            </w:hyperlink>
            <w:r/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2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报表</w:t>
            </w:r>
          </w:p>
        </w:tc>
        <w:tc>
          <w:tcPr>
            <w:tcW w:w="48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删除渠道分成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P3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李咏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前端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3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4B0F1"/>
              </w:rPr>
              <w:t xml:space="preserve">需求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报表</w:t>
            </w:r>
          </w:p>
        </w:tc>
        <w:tc>
          <w:tcPr>
            <w:tcW w:w="48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日周月报/报表指标卡趋势图等优化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P3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李咏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前端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</w:tbl>
    <w:p>
      <w:pPr>
        <w:pStyle w:val="dingding-heading1"/>
      </w:pPr>
      <w:r>
        <w:rPr>
          <w:color w:val="000000"/>
          <w:b w:val="1"/>
        </w:rPr>
        <w:t xml:space="preserve">三、需求详情</w:t>
      </w:r>
    </w:p>
    <w:p>
      <w:pPr/>
      <w:r>
        <w:t xml:space="preserve">咨询UI（李咏）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docs.xiaoshanim.com/i/nodes/7gNKMlbrq3WXANj8V55I4mv5p6Ad9nL1?utm_scene=team_space&amp;iframeQuery=anchorId%3Duu_mettnl3d2kk6yatv8b9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