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V3.12.8-剧本杀迁移(1)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剧本杀9.27投放，安卓和IOS均需要投放；巨量媒体</w:t>
      </w:r>
    </w:p>
    <w:p>
      <w:pPr/>
      <w:r>
        <w:t xml:space="preserve">老魔方归因已下线，智投需提供归因和回推服务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剧本杀迁移完设备表和用户表，支持本次投放</w:t>
      </w:r>
    </w:p>
    <w:p>
      <w:pPr/>
      <w:r>
        <w:t xml:space="preserve">历史报表无需迁移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810"/>
        <w:gridCol w:w="1290"/>
        <w:gridCol w:w="840"/>
        <w:gridCol w:w="4845"/>
        <w:gridCol w:w="930"/>
      </w:tblGrid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9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规划版本</w:t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</w:tr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29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V3.12.8</w:t>
            </w:r>
          </w:p>
          <w:p>
            <w:pPr>
              <w:jc w:val="center"/>
            </w:pPr>
            <w:r>
              <w:rPr>
                <w:color w:val="000000"/>
              </w:rPr>
            </w:r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历史用户表、设备表、归因结果、监测活动迁移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</w:t>
            </w:r>
          </w:p>
        </w:tc>
        <w:tc>
          <w:tcPr>
            <w:tcW w:w="484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rPr>
                <w:color w:val="000000"/>
              </w:rPr>
              <w:t xml:space="preserve">对接游戏事件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rPr>
                <w:color w:val="000000"/>
              </w:rPr>
              <w:t xml:space="preserve">3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8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</w:t>
            </w:r>
          </w:p>
        </w:tc>
        <w:tc>
          <w:tcPr>
            <w:tcW w:w="484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IOS需支持融合归因，需指定版本号</w:t>
            </w:r>
          </w:p>
        </w:tc>
        <w:tc>
          <w:tcPr>
            <w:tcW w:w="93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</w:tr>
    </w:tbl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