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V3.12.9-素材采集迁移</w:t>
      </w:r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ind/>
      </w:pPr>
      <w:r>
        <w:t xml:space="preserve">旧智投下架，9月已将素材标签迁移到新智投，需将旧智投的素材模块无用的采集下掉</w:t>
      </w:r>
    </w:p>
    <w:p>
      <w:pPr>
        <w:ind/>
      </w:pPr>
      <w:r/>
    </w:p>
    <w:p>
      <w:pPr>
        <w:ind/>
      </w:pPr>
      <w:r/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二、需求</w:t>
      </w:r>
    </w:p>
    <w:p>
      <w:pPr/>
      <w:r>
        <w:t xml:space="preserve">简化旧智投的采集模块，推动旧智投下架</w:t>
      </w:r>
    </w:p>
    <w:p>
      <w:pPr/>
      <w:r/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三、迁移内容</w:t>
      </w:r>
    </w:p>
    <w:p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改造素材下架功能的数据依赖</w:t>
      </w:r>
    </w:p>
    <w:p>
      <w:pPr/>
      <w:r>
        <w:rPr/>
      </w:r>
      <w:r>
        <w:drawing>
          <wp:inline distT="0" distB="0" distL="0" distR="0">
            <wp:extent cx="7124700" cy="376591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7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/>
      <w:r/>
    </w:p>
    <w:p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停止旧智投采集</w:t>
      </w:r>
    </w:p>
    <w:p>
      <w:pPr/>
      <w:r>
        <w:t xml:space="preserve">停止以下Seatunnel同步服务</w:t>
      </w:r>
    </w:p>
    <w:tbl>
      <w:tblPr>
        <w:tblStyle w:val="TableGrid"/>
        <w:tblW w:w="0" w:type="auto"/>
      </w:tblPr>
      <w:tblGrid>
        <w:gridCol w:w="8385"/>
      </w:tblGrid>
      <w:tr>
        <w:trPr>
          <w:trHeight w:val="385"/>
        </w:trPr>
        <w:tc>
          <w:tcPr>
            <w:tcW w:w="8385" w:type="dxa"/>
            <w:tcBorders>
              <w:bottom w:val="single" w:sz="6" w:space="0" w:color="CCCCCC"/>
              <w:top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t xml:space="preserve">seatunnel_sync_wsr2_f_mainland01_dwd_biz_account_zipper</w:t>
            </w:r>
          </w:p>
        </w:tc>
      </w:tr>
      <w:tr>
        <w:trPr>
          <w:trHeight w:val="385"/>
        </w:trPr>
        <w:tc>
          <w:tcPr>
            <w:tcW w:w="8385" w:type="dxa"/>
            <w:tcBorders>
              <w:bottom w:val="single" w:sz="6" w:space="0" w:color="CCCCCC"/>
              <w:top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t xml:space="preserve">seatunnel_sync_wsr2_f_mainland01_ods_biz_sunrise_sys_agent_rt</w:t>
            </w:r>
          </w:p>
        </w:tc>
      </w:tr>
      <w:tr>
        <w:trPr>
          <w:trHeight w:val="385"/>
        </w:trPr>
        <w:tc>
          <w:tcPr>
            <w:tcW w:w="8385" w:type="dxa"/>
            <w:tcBorders>
              <w:bottom w:val="single" w:sz="6" w:space="0" w:color="CCCCCC"/>
              <w:top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t xml:space="preserve">seatunnel_sync_wsr2_f_mainland01_ads_pub_account_info_f</w:t>
            </w:r>
          </w:p>
        </w:tc>
      </w:tr>
    </w:tbl>
    <w:p>
      <w:pPr/>
      <w:r/>
    </w:p>
    <w:p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下架旧智投除素材、落地页外其他服务</w:t>
      </w:r>
    </w:p>
    <w:p>
      <w:pPr/>
      <w:r>
        <w:t xml:space="preserve">后端仅保留一下三个模块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808"/>
        <w:gridCol w:w="1847"/>
        <w:gridCol w:w="3664"/>
        <w:gridCol w:w="2899"/>
      </w:tblGrid>
      <w:tr>
        <w:trPr>
          <w:trHeight w:val="0"/>
        </w:trPr>
        <w:tc>
          <w:tcPr>
            <w:tcW w:w="2808" w:type="dxa"/>
          </w:tcPr>
          <w:p>
            <w:pPr/>
            <w:r>
              <w:t xml:space="preserve">模块名</w:t>
            </w:r>
          </w:p>
        </w:tc>
        <w:tc>
          <w:tcPr>
            <w:tcW w:w="1847" w:type="dxa"/>
          </w:tcPr>
          <w:p>
            <w:pPr/>
            <w:r>
              <w:t xml:space="preserve">状态</w:t>
            </w:r>
          </w:p>
        </w:tc>
        <w:tc>
          <w:tcPr>
            <w:tcW w:w="3664" w:type="dxa"/>
          </w:tcPr>
          <w:p>
            <w:pPr/>
            <w:r>
              <w:t xml:space="preserve">xxl-job调度状态</w:t>
            </w:r>
          </w:p>
        </w:tc>
        <w:tc>
          <w:tcPr>
            <w:tcW w:w="2899" w:type="dxa"/>
          </w:tcPr>
          <w:p>
            <w:pPr/>
            <w:r>
              <w:t xml:space="preserve">功能描述</w:t>
            </w:r>
          </w:p>
        </w:tc>
      </w:tr>
      <w:tr>
        <w:trPr>
          <w:trHeight w:val="645"/>
        </w:trPr>
        <w:tc>
          <w:tcPr>
            <w:tcW w:w="2808" w:type="dxa"/>
          </w:tcPr>
          <w:p>
            <w:pPr/>
            <w:r>
              <w:t xml:space="preserve">aiad-web-go-backend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代理转发网关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aiad-web-php-backend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鉴权服务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aiad-landingpage-backend</w:t>
            </w:r>
          </w:p>
        </w:tc>
        <w:tc>
          <w:tcPr>
            <w:tcW w:w="1847" w:type="dxa"/>
          </w:tcPr>
          <w:p>
            <w:pPr/>
            <w:r>
              <w:t xml:space="preserve">保留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落地页服务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aiad-material</w:t>
            </w:r>
          </w:p>
        </w:tc>
        <w:tc>
          <w:tcPr>
            <w:tcW w:w="1847" w:type="dxa"/>
          </w:tcPr>
          <w:p>
            <w:pPr/>
            <w:r>
              <w:t xml:space="preserve">保留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提供素材库增删改查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aiad-ads-aiqiyi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爱奇艺采集</w:t>
            </w:r>
          </w:p>
        </w:tc>
      </w:tr>
      <w:tr>
        <w:trPr>
          <w:trHeight w:val="630"/>
        </w:trPr>
        <w:tc>
          <w:tcPr>
            <w:tcW w:w="2808" w:type="dxa"/>
          </w:tcPr>
          <w:p>
            <w:pPr/>
            <w:r>
              <w:t xml:space="preserve">aiad-ads-baidu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百度采集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aiad-ads-bilibili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B站采集</w:t>
            </w:r>
          </w:p>
        </w:tc>
      </w:tr>
      <w:tr>
        <w:trPr>
          <w:trHeight w:val="630"/>
        </w:trPr>
        <w:tc>
          <w:tcPr>
            <w:tcW w:w="2808" w:type="dxa"/>
          </w:tcPr>
          <w:p>
            <w:pPr/>
            <w:r>
              <w:t xml:space="preserve">aiad-ads-facebook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Facebook采集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aiad-ads-google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Google采集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aiad-ads-tiktok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Tiktok采集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aiad-ads-huya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虎牙采集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aiad-ads-kuaishou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快手采集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aiad-ads-ocean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巨量采集</w:t>
            </w:r>
          </w:p>
        </w:tc>
      </w:tr>
      <w:tr>
        <w:trPr>
          <w:trHeight w:val="630"/>
        </w:trPr>
        <w:tc>
          <w:tcPr>
            <w:tcW w:w="2808" w:type="dxa"/>
          </w:tcPr>
          <w:p>
            <w:pPr/>
            <w:r>
              <w:t xml:space="preserve">aiad-ads-tencent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腾讯采集</w:t>
            </w:r>
          </w:p>
        </w:tc>
      </w:tr>
      <w:tr>
        <w:trPr>
          <w:trHeight w:val="630"/>
        </w:trPr>
        <w:tc>
          <w:tcPr>
            <w:tcW w:w="2808" w:type="dxa"/>
          </w:tcPr>
          <w:p>
            <w:pPr/>
            <w:r>
              <w:t xml:space="preserve">aiad-ads-uc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  <w:vAlign w:val="center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UC采集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aiad-ads-vivo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  <w:vAlign w:val="center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Vivo采集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aiad-ads-weibo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  <w:vAlign w:val="center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微博采集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aiad-ads-xiaomi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  <w:vAlign w:val="center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小米采集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aiad-ads-report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报表服务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aiad-gateway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  <w:vAlign w:val="center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网关服务</w:t>
            </w:r>
          </w:p>
        </w:tc>
      </w:tr>
      <w:tr>
        <w:trPr>
          <w:trHeight w:val="630"/>
        </w:trPr>
        <w:tc>
          <w:tcPr>
            <w:tcW w:w="2808" w:type="dxa"/>
          </w:tcPr>
          <w:p>
            <w:pPr/>
            <w:r>
              <w:t xml:space="preserve">aiad-setting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/</w:t>
            </w:r>
          </w:p>
        </w:tc>
        <w:tc>
          <w:tcPr>
            <w:tcW w:w="2899" w:type="dxa"/>
          </w:tcPr>
          <w:p>
            <w:pPr/>
            <w:r>
              <w:t xml:space="preserve">增删改查服务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aiad-spider</w:t>
            </w:r>
          </w:p>
        </w:tc>
        <w:tc>
          <w:tcPr>
            <w:tcW w:w="1847" w:type="dxa"/>
          </w:tcPr>
          <w:p>
            <w:pPr/>
            <w:r>
              <w:t xml:space="preserve">下架</w:t>
            </w:r>
          </w:p>
        </w:tc>
        <w:tc>
          <w:tcPr>
            <w:tcW w:w="3664" w:type="dxa"/>
          </w:tcPr>
          <w:p>
            <w:pPr/>
            <w:r>
              <w:t xml:space="preserve">全部停止</w:t>
            </w:r>
          </w:p>
        </w:tc>
        <w:tc>
          <w:tcPr>
            <w:tcW w:w="2899" w:type="dxa"/>
          </w:tcPr>
          <w:p>
            <w:pPr/>
            <w:r>
              <w:t xml:space="preserve">加工合并服务</w:t>
            </w:r>
          </w:p>
        </w:tc>
      </w:tr>
    </w:tbl>
    <w:p>
      <w:pPr/>
      <w:r/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四、迁移计划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1">
      <w:start w:val="1"/>
      <w:numFmt w:val="decimal"/>
      <w:lvlText w:val="%1"/>
      <w:lvlJc w:val="left"/>
      <w:pPr>
        <w:ind w:left="84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