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V3.13.6-H5支持监测链接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问题：当前【clue_token归因链路】获取参数有限，部分媒体无法获取广告、素材、广告版位参数</w:t>
      </w:r>
    </w:p>
    <w:p>
      <w:pPr>
        <w:numPr>
          <w:ilvl w:val="0"/>
          <w:numId w:val="1"/>
        </w:numPr>
      </w:pPr>
      <w:r>
        <w:t xml:space="preserve">用户：监测链接流程投放更熟悉，使用更顺畅，例如广州投放不知道宏参数放在哪里</w:t>
      </w:r>
    </w:p>
    <w:p>
      <w:pPr>
        <w:numPr>
          <w:ilvl w:val="0"/>
          <w:numId w:val="1"/>
        </w:numPr>
      </w:pPr>
      <w:r>
        <w:t xml:space="preserve">媒体：巨量广告不再维护【clue_token归因链路】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numPr>
          <w:ilvl w:val="0"/>
          <w:numId w:val="2"/>
        </w:numPr>
      </w:pPr>
      <w:r>
        <w:t xml:space="preserve">H5归因方案升级，更通用</w:t>
      </w:r>
    </w:p>
    <w:p>
      <w:pPr>
        <w:numPr>
          <w:ilvl w:val="0"/>
          <w:numId w:val="2"/>
        </w:numPr>
      </w:pPr>
      <w:r>
        <w:t xml:space="preserve">三大主流媒体支持打通H5的广告、素材数据</w:t>
      </w:r>
    </w:p>
    <w:p>
      <w:hyperlink r:id="rId4">
        <w:r>
          <w:rPr>
            <w:rStyle w:val="hyperlink"/>
          </w:rPr>
          <w:t xml:space="preserve">请至钉钉文档查看「白板」</w:t>
        </w:r>
      </w:hyperlink>
      <w:r/>
    </w:p>
    <w:p>
      <w:pPr/>
      <w:r>
        <w:rPr>
          <w:color w:val="FE0300"/>
        </w:rPr>
        <w:t xml:space="preserve">运营侧：功能上线后需邮件通知用户，强调使用监测链接时需进行联调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125"/>
        <w:gridCol w:w="945"/>
        <w:gridCol w:w="5100"/>
        <w:gridCol w:w="930"/>
        <w:gridCol w:w="93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1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</w:rPr>
              <w:t xml:space="preserve">备注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125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V3.13.6</w:t>
            </w:r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H5支持创建监测链接，可获取点击</w:t>
            </w:r>
          </w:p>
          <w:p>
            <w:pPr>
              <w:pStyle w:val="dingding_quote"/>
            </w:pPr>
            <w:r>
              <w:rPr>
                <w:color w:val="595959"/>
              </w:rPr>
              <w:t xml:space="preserve">除飞火/Ｂ站的微小、快小暂无法升级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２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媒体管理支持H5设置归因回溯期，默认７天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1005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３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激活归因升级</w:t>
            </w:r>
          </w:p>
          <w:p>
            <w:pPr>
              <w:pStyle w:val="dingding_quote"/>
            </w:pPr>
            <w:r>
              <w:t xml:space="preserve">需同时兼容宏参数的逻辑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４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51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回推兼容宏参数和点击两种场景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5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51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广告素材、用户细查加工逻辑调整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6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移动端</w:t>
            </w:r>
          </w:p>
        </w:tc>
        <w:tc>
          <w:tcPr>
            <w:tcW w:w="51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智投移动端优化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7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51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z w:val="22"/>
                <w:rFonts w:ascii="Microsoft YaHei" w:hAnsi="Microsoft YaHei" w:cs="Microsoft YaHei" w:eastAsia="Microsoft YaHei"/>
              </w:rPr>
              <w:t xml:space="preserve">广告直播报表增加达人ID展示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8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9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bug</w:t>
            </w:r>
          </w:p>
        </w:tc>
        <w:tc>
          <w:tcPr>
            <w:tcW w:w="51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报表中过滤掉未添加应用的数据（包含IOS、H5、PC、web）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P3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9</w:t>
            </w:r>
          </w:p>
        </w:tc>
        <w:tc>
          <w:tcPr>
            <w:tcW w:w="11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V3.13.6</w:t>
            </w:r>
          </w:p>
        </w:tc>
        <w:tc>
          <w:tcPr>
            <w:tcW w:w="9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监测</w:t>
            </w:r>
          </w:p>
        </w:tc>
        <w:tc>
          <w:tcPr>
            <w:tcW w:w="510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微小创建监测新增媒体：腾讯互选（ID10163） ，账户必填，不回推</w:t>
            </w:r>
          </w:p>
          <w:p>
            <w:pPr/>
            <w:r>
              <w:t xml:space="preserve">对接文档：</w:t>
            </w:r>
            <w:hyperlink r:id="rId5">
              <w:r>
                <w:rPr>
                  <w:sz w:val="24"/>
                  <w:rStyle w:val="hyperlink"/>
                </w:rPr>
                <w:t xml:space="preserve">腾讯广告互选平台首页</w:t>
              </w:r>
            </w:hyperlink>
            <w:r/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hd w:val="clear" w:color="auto" w:fill="FDBE3D"/>
              </w:rPr>
              <w:t xml:space="preserve">新增临时需求</w:t>
            </w:r>
          </w:p>
        </w:tc>
      </w:tr>
    </w:tbl>
    <w:p>
      <w:pPr/>
      <w:r>
        <w:t xml:space="preserve">备注：历史数据不处理，新增数据按新归因方式计算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四、需求详情</w:t>
      </w:r>
    </w:p>
    <w:p>
      <w:pPr>
        <w:pStyle w:val="dingding-heading3"/>
        <w:numPr>
          <w:ilvl w:val="2"/>
          <w:numId w:val="3"/>
        </w:numPr>
        <w:spacing w:line="204.70588235294116"/>
      </w:pPr>
      <w:r>
        <w:rPr>
          <w:sz w:val="28"/>
          <w:b w:val="1"/>
        </w:rPr>
        <w:t xml:space="preserve">H5支持创建监测链接，可获取点击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1982239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3076575" cy="198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2432236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3076575" cy="243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ind/>
      </w:pPr>
      <w:r>
        <w:t xml:space="preserve">（1）统一在操作列复制监测链接或宏参数，操作列提示文案：</w:t>
      </w:r>
    </w:p>
    <w:p>
      <w:pPr>
        <w:pStyle w:val="dingding_quote"/>
        <w:ind/>
      </w:pPr>
      <w:r>
        <w:t xml:space="preserve">1.APP生成链接，复制填写到广告中，可进行点击归因</w:t>
      </w:r>
    </w:p>
    <w:p>
      <w:pPr>
        <w:pStyle w:val="dingding_quote"/>
        <w:ind/>
        <w:spacing/>
      </w:pPr>
      <w:r>
        <w:t xml:space="preserve">2.H5升级支持链接和宏参数，优先推荐使用链接，无链接时使用宏参数</w:t>
      </w:r>
    </w:p>
    <w:p>
      <w:pPr>
        <w:ind/>
        <w:spacing/>
      </w:pPr>
      <w:r>
        <w:t xml:space="preserve">（2）导出需要支持导出监测链接和宏参数，分成两列导出</w:t>
      </w:r>
    </w:p>
    <w:p>
      <w:pPr>
        <w:pStyle w:val="dingding-heading3"/>
        <w:numPr>
          <w:ilvl w:val="2"/>
          <w:numId w:val="3"/>
        </w:numPr>
        <w:spacing w:line="204.70588235294116"/>
      </w:pPr>
      <w:r>
        <w:rPr>
          <w:sz w:val="28"/>
          <w:b w:val="1"/>
        </w:rPr>
        <w:t xml:space="preserve">媒体管理支持H5设置归因回溯期，默认７天</w:t>
      </w:r>
    </w:p>
    <w:p>
      <w:pPr/>
      <w:r>
        <w:t xml:space="preserve">（1）H5支持监测链接的媒体，展示设置归因回溯期</w:t>
      </w:r>
    </w:p>
    <w:p>
      <w:pPr/>
      <w:r>
        <w:t xml:space="preserve">（2）归因回溯期默认为７天，支持修改，可选项</w:t>
      </w:r>
    </w:p>
    <w:tbl>
      <w:tblPr>
        <w:tblStyle w:val="TableGrid"/>
        <w:tblW w:w="0" w:type="auto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  <w:shd w:val="clear" w:color="auto"/>
          </w:tcPr>
          <w:p>
            <w:pPr/>
            <w:r/>
            <w:r>
              <w:drawing>
                <wp:inline distT="0" distB="0" distL="0" distR="0">
                  <wp:extent cx="3076575" cy="1443433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3076575" cy="144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5610" w:type="dxa"/>
            <w:vAlign w:val="top"/>
            <w:shd w:val="clear" w:color="auto"/>
          </w:tcPr>
          <w:tbl>
            <w:tblPr>
              <w:tblStyle w:val="TableGrid"/>
              <w:tblW w:w="0" w:type="auto"/>
            </w:tblPr>
            <w:tblGrid>
              <w:gridCol w:w="5610"/>
              <w:gridCol w:w="5610"/>
            </w:tblGrid>
            <w:tr>
              <w:trPr>
                <w:trHeight w:val="0"/>
              </w:trPr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3076575" cy="1561519"/>
                        <wp:effectExtent b="0" l="0" r="0" t="0"/>
                        <wp:docPr id="4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3076575" cy="1561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  <w:tc>
                <w:tcPr>
                  <w:vAlign w:val="top"/>
                  <w:shd w:val="clear" w:color="auto"/>
                </w:tcPr>
                <w:p>
                  <w:pPr/>
                  <w:r/>
                  <w:r>
                    <w:drawing>
                      <wp:inline distT="0" distB="0" distL="0" distR="0">
                        <wp:extent cx="3076575" cy="2559354"/>
                        <wp:effectExtent b="0" l="0" r="0" t="0"/>
                        <wp:docPr id="5" name="image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3076575" cy="25593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</w:tr>
          </w:tbl>
          <w:p/>
        </w:tc>
      </w:tr>
    </w:tbl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激活归因升级</w:t>
      </w:r>
    </w:p>
    <w:p>
      <w:pPr/>
      <w:r>
        <w:t xml:space="preserve">（1）支持收取H5的点击明细</w:t>
      </w:r>
    </w:p>
    <w:p>
      <w:pPr/>
      <w:r>
        <w:t xml:space="preserve">（2）激活归因新增点击归因，其余事件归因逻辑不变</w:t>
      </w:r>
    </w:p>
    <w:p>
      <w:pPr/>
      <w:r>
        <w:t xml:space="preserve">（3）激活－点击归因匹配字段，参考文档</w:t>
      </w:r>
      <w:hyperlink r:id="rId11">
        <w:r>
          <w:rPr>
            <w:rStyle w:val="hyperlink"/>
          </w:rPr>
          <w:t xml:space="preserve">请至钉钉文档查看附件《H5点击归因参数》</w:t>
        </w:r>
      </w:hyperlink>
      <w:r/>
    </w:p>
    <w:p>
      <w:pPr/>
      <w:r/>
      <w:r>
        <w:drawing>
          <wp:inline distT="0" distB="0" distL="0" distR="0">
            <wp:extent cx="7124700" cy="10494896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1049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H5回推</w:t>
      </w:r>
    </w:p>
    <w:p>
      <w:pPr/>
      <w:r>
        <w:t xml:space="preserve">回推参数获取需支持从点击中获取，以下媒体回推需升级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140"/>
        <w:gridCol w:w="1515"/>
        <w:gridCol w:w="1995"/>
        <w:gridCol w:w="6840"/>
      </w:tblGrid>
      <w:tr>
        <w:trPr>
          <w:trHeight w:val="0"/>
        </w:trPr>
        <w:tc>
          <w:tcPr>
            <w:tcW w:w="11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游戏类型</w:t>
            </w:r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媒体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回推是否需升级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媒体文档</w:t>
            </w:r>
          </w:p>
        </w:tc>
      </w:tr>
      <w:tr>
        <w:trPr>
          <w:trHeight w:val="0"/>
        </w:trPr>
        <w:tc>
          <w:tcPr>
            <w:tcW w:w="114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微小</w:t>
            </w:r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巨量广告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3">
              <w:r>
                <w:rPr>
                  <w:sz w:val="24"/>
                  <w:rStyle w:val="hyperlink"/>
                </w:rPr>
                <w:t xml:space="preserve">‬‬‬⁠‬⁠⁠⁠‬‬‬‬﻿﻿三方（微信）小程序转化回传技术对接指南 2.0 - 飞书云文档</w:t>
              </w:r>
            </w:hyperlink>
            <w:r/>
          </w:p>
        </w:tc>
      </w:tr>
      <w:tr>
        <w:trPr>
          <w:trHeight w:val="66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腾讯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4">
              <w:r>
                <w:rPr>
                  <w:sz w:val="24"/>
                  <w:rStyle w:val="hyperlink"/>
                </w:rPr>
                <w:t xml:space="preserve">小游戏转化归因接入指引（新链路）</w:t>
              </w:r>
            </w:hyperlink>
            <w:r/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快手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5">
              <w:r>
                <w:rPr>
                  <w:sz w:val="24"/>
                  <w:rStyle w:val="hyperlink"/>
                </w:rPr>
                <w:t xml:space="preserve">微信小程序API归因上报 - 轻雀文档</w:t>
              </w:r>
            </w:hyperlink>
            <w:r/>
          </w:p>
        </w:tc>
      </w:tr>
      <w:tr>
        <w:trPr>
          <w:trHeight w:val="66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微博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6">
              <w:r>
                <w:rPr>
                  <w:sz w:val="24"/>
                  <w:rStyle w:val="hyperlink"/>
                </w:rPr>
                <w:t xml:space="preserve">⁠‬‬⁠﻿⁠微博微信(含小程序异步)资产联调手册 - 飞书云文档</w:t>
              </w:r>
            </w:hyperlink>
            <w:r/>
          </w:p>
        </w:tc>
      </w:tr>
      <w:tr>
        <w:trPr>
          <w:trHeight w:val="66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百度信息流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7">
              <w:r>
                <w:rPr>
                  <w:sz w:val="24"/>
                  <w:rStyle w:val="hyperlink"/>
                </w:rPr>
                <w:t xml:space="preserve">百度营销-商业开发者中心</w:t>
              </w:r>
            </w:hyperlink>
            <w:r/>
          </w:p>
        </w:tc>
      </w:tr>
      <w:tr>
        <w:trPr>
          <w:trHeight w:val="0"/>
        </w:trPr>
        <w:tc>
          <w:tcPr>
            <w:vMerge w:val="continue"/>
            <w:shd w:val="clear" w:color="auto" w:fill="FFFFFF"/>
          </w:tcPr>
          <w:p>
            <w:pPr/>
            <w:r/>
          </w:p>
        </w:tc>
        <w:tc>
          <w:tcPr>
            <w:tcW w:w="15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B站</w:t>
            </w:r>
          </w:p>
        </w:tc>
        <w:tc>
          <w:tcPr>
            <w:tcW w:w="199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shd w:val="clear" w:color="auto" w:fill="FFFFFF"/>
          </w:tcPr>
          <w:p>
            <w:pPr/>
            <w:r/>
          </w:p>
        </w:tc>
        <w:tc>
          <w:tcPr>
            <w:tcW w:w="15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飞火</w:t>
            </w:r>
          </w:p>
        </w:tc>
        <w:tc>
          <w:tcPr>
            <w:tcW w:w="199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strike w:val="1"/>
              </w:rPr>
              <w:t xml:space="preserve">需要</w:t>
            </w:r>
          </w:p>
        </w:tc>
        <w:tc>
          <w:tcPr>
            <w:tcW w:w="684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小红书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8">
              <w:r>
                <w:rPr>
                  <w:sz w:val="24"/>
                  <w:rStyle w:val="hyperlink"/>
                </w:rPr>
                <w:t xml:space="preserve">【小程序推广-微信小程序】操作指南</w:t>
              </w:r>
            </w:hyperlink>
            <w:r/>
          </w:p>
        </w:tc>
      </w:tr>
      <w:tr>
        <w:trPr>
          <w:trHeight w:val="0"/>
        </w:trPr>
        <w:tc>
          <w:tcPr>
            <w:tcW w:w="11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抖小</w:t>
            </w:r>
          </w:p>
        </w:tc>
        <w:tc>
          <w:tcPr>
            <w:tcW w:w="15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巨量</w:t>
            </w:r>
          </w:p>
        </w:tc>
        <w:tc>
          <w:tcPr>
            <w:tcW w:w="199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需要</w:t>
            </w:r>
          </w:p>
        </w:tc>
        <w:tc>
          <w:tcPr>
            <w:tcW w:w="6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19">
              <w:r>
                <w:rPr>
                  <w:sz w:val="24"/>
                  <w:rStyle w:val="hyperlink"/>
                </w:rPr>
                <w:t xml:space="preserve">‬‬⁠‬﻿﻿⁠⁠抖音小游戏-直投全流程投放指引 - 飞书云文档</w:t>
              </w:r>
            </w:hyperlink>
            <w:r/>
          </w:p>
        </w:tc>
      </w:tr>
    </w:tbl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报表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22"/>
        <w:gridCol w:w="8997"/>
      </w:tblGrid>
      <w:tr>
        <w:trPr>
          <w:trHeight w:val="0"/>
        </w:trPr>
        <w:tc>
          <w:tcPr>
            <w:tcW w:w="2222" w:type="dxa"/>
          </w:tcPr>
          <w:p>
            <w:pPr/>
            <w:r>
              <w:t xml:space="preserve">关联报表</w:t>
            </w:r>
          </w:p>
        </w:tc>
        <w:tc>
          <w:tcPr>
            <w:tcW w:w="8997" w:type="dxa"/>
          </w:tcPr>
          <w:p>
            <w:pPr/>
            <w:r>
              <w:t xml:space="preserve">改动说明</w:t>
            </w:r>
          </w:p>
        </w:tc>
      </w:tr>
      <w:tr>
        <w:trPr>
          <w:trHeight w:val="0"/>
        </w:trPr>
        <w:tc>
          <w:tcPr>
            <w:tcW w:w="2222" w:type="dxa"/>
          </w:tcPr>
          <w:p>
            <w:pPr/>
            <w:r>
              <w:t xml:space="preserve">广告素材</w:t>
            </w:r>
          </w:p>
        </w:tc>
        <w:tc>
          <w:tcPr>
            <w:tcW w:w="8997" w:type="dxa"/>
          </w:tcPr>
          <w:p>
            <w:pPr/>
            <w:r>
              <w:t xml:space="preserve">点击归因场景下解析点击中的广告、素材信息</w:t>
            </w:r>
          </w:p>
          <w:p>
            <w:pPr/>
            <w:r>
              <w:t xml:space="preserve">提示：1.腾讯使用宏参数投H5时无法统计素材的后端数据，统一归为未知；推荐使用监测链接推广；2.快手媒体按广告信息筛选素材时，不支持查看消耗、点击等媒体指标</w:t>
            </w:r>
          </w:p>
        </w:tc>
      </w:tr>
      <w:tr>
        <w:trPr>
          <w:trHeight w:val="630"/>
        </w:trPr>
        <w:tc>
          <w:tcPr>
            <w:tcW w:w="2222" w:type="dxa"/>
          </w:tcPr>
          <w:p>
            <w:pPr/>
            <w:r>
              <w:t xml:space="preserve">活动报表</w:t>
            </w:r>
          </w:p>
        </w:tc>
        <w:tc>
          <w:tcPr>
            <w:tcW w:w="8997" w:type="dxa"/>
          </w:tcPr>
          <w:p>
            <w:pPr>
              <w:ind/>
            </w:pPr>
            <w:r>
              <w:t xml:space="preserve">1.H5项目增加广告点击数、广告点击排重数</w:t>
            </w:r>
          </w:p>
        </w:tc>
      </w:tr>
      <w:tr>
        <w:trPr>
          <w:trHeight w:val="1380"/>
        </w:trPr>
        <w:tc>
          <w:tcPr>
            <w:tcW w:w="2222" w:type="dxa"/>
          </w:tcPr>
          <w:p>
            <w:pPr/>
            <w:r>
              <w:t xml:space="preserve">用户细查</w:t>
            </w:r>
          </w:p>
        </w:tc>
        <w:tc>
          <w:tcPr>
            <w:tcW w:w="8997" w:type="dxa"/>
          </w:tcPr>
          <w:p>
            <w:pPr>
              <w:ind/>
            </w:pPr>
            <w:r>
              <w:t xml:space="preserve">1.H5激活事件：点击归因时，归因设备ID展示实际用于匹配的ID（req_id/open_id/callback...）</w:t>
            </w:r>
          </w:p>
          <w:p>
            <w:pPr>
              <w:ind/>
            </w:pPr>
            <w:r>
              <w:t xml:space="preserve">2.H5激活事件：点击匹配详情，点击归因时需展示广告点击数据</w:t>
            </w:r>
          </w:p>
        </w:tc>
      </w:tr>
    </w:tbl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移动端优化</w:t>
      </w:r>
    </w:p>
    <w:p>
      <w:pPr/>
      <w:r/>
      <w:hyperlink r:id="rId20">
        <w:r>
          <w:rPr>
            <w:rStyle w:val="hyperlink"/>
          </w:rPr>
          <w:t xml:space="preserve">《【新智投-移动端优化】-交互优化-1024》</w:t>
        </w:r>
      </w:hyperlink>
      <w:r/>
    </w:p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广告直播报表增加达人ID展示</w:t>
      </w:r>
    </w:p>
    <w:p>
      <w:pPr/>
      <w:r>
        <w:t xml:space="preserve">增加一列达人ID，按达人细分时，默认展示</w:t>
      </w:r>
    </w:p>
    <w:p>
      <w:pPr/>
      <w:r/>
      <w:r>
        <w:drawing>
          <wp:inline distT="0" distB="0" distL="0" distR="0">
            <wp:extent cx="7124700" cy="3510666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124700" cy="35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BUG处理</w:t>
      </w:r>
    </w:p>
    <w:p>
      <w:pPr/>
      <w:r>
        <w:t xml:space="preserve">未添加的IOS、H5应用，有数据时映射为标准渠道号，报表展示标准渠道号</w:t>
      </w:r>
    </w:p>
    <w:p>
      <w:pPr/>
      <w:r/>
    </w:p>
    <w:p>
      <w:pPr>
        <w:pStyle w:val="dingding-heading3"/>
        <w:numPr>
          <w:ilvl w:val="2"/>
          <w:numId w:val="3"/>
        </w:numPr>
        <w:spacing w:line="204.70588235294116"/>
      </w:pPr>
      <w:r>
        <w:t xml:space="preserve">测试联调说明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840"/>
        <w:gridCol w:w="1515"/>
        <w:gridCol w:w="5085"/>
        <w:gridCol w:w="3225"/>
      </w:tblGrid>
      <w:tr>
        <w:trPr>
          <w:trHeight w:val="0"/>
        </w:trPr>
        <w:tc>
          <w:tcPr>
            <w:tcW w:w="840" w:type="dxa"/>
            <w:vAlign w:val="center"/>
          </w:tcPr>
          <w:p>
            <w:pPr/>
            <w:r>
              <w:rPr>
                <w:b w:val="1"/>
              </w:rPr>
              <w:t xml:space="preserve">游戏类型</w:t>
            </w:r>
          </w:p>
        </w:tc>
        <w:tc>
          <w:tcPr>
            <w:tcW w:w="1515" w:type="dxa"/>
            <w:vAlign w:val="center"/>
          </w:tcPr>
          <w:p>
            <w:pPr/>
            <w:r>
              <w:rPr>
                <w:b w:val="1"/>
              </w:rPr>
              <w:t xml:space="preserve">媒体</w:t>
            </w:r>
          </w:p>
        </w:tc>
        <w:tc>
          <w:tcPr>
            <w:tcW w:w="5085" w:type="dxa"/>
            <w:vAlign w:val="center"/>
          </w:tcPr>
          <w:p>
            <w:pPr/>
            <w:r>
              <w:rPr>
                <w:b w:val="1"/>
              </w:rPr>
              <w:t xml:space="preserve">媒体文档</w:t>
            </w:r>
          </w:p>
        </w:tc>
        <w:tc>
          <w:tcPr>
            <w:tcW w:w="3225" w:type="dxa"/>
          </w:tcPr>
          <w:p>
            <w:pPr/>
            <w:r>
              <w:rPr>
                <w:b w:val="1"/>
              </w:rPr>
              <w:t xml:space="preserve">测试联调</w:t>
            </w:r>
          </w:p>
        </w:tc>
      </w:tr>
      <w:tr>
        <w:trPr>
          <w:trHeight w:val="1065"/>
        </w:trPr>
        <w:tc>
          <w:tcPr>
            <w:tcW w:w="840" w:type="dxa"/>
            <w:vMerge w:val="restart"/>
            <w:vAlign w:val="center"/>
            <w:shd w:val="clear" w:color="auto" w:fill="ECF9F0"/>
          </w:tcPr>
          <w:p>
            <w:pPr/>
            <w:r>
              <w:t xml:space="preserve">微小</w:t>
            </w:r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巨量广告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2">
              <w:r>
                <w:rPr>
                  <w:sz w:val="24"/>
                  <w:rStyle w:val="hyperlink"/>
                </w:rPr>
                <w:t xml:space="preserve">‬‬‬⁠‬⁠⁠⁠‬‬‬‬﻿﻿三方（微信）小程序转化回传技术对接指南 2.0 - 飞书云文档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星图（市场/广告）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3">
              <w:r>
                <w:rPr>
                  <w:sz w:val="24"/>
                  <w:rStyle w:val="hyperlink"/>
                </w:rPr>
                <w:t xml:space="preserve">星图监测联调工具使用说明-星图营销服务平台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－</w:t>
            </w:r>
          </w:p>
        </w:tc>
      </w:tr>
      <w:tr>
        <w:trPr>
          <w:trHeight w:val="735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星广联投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4">
              <w:r>
                <w:rPr>
                  <w:rStyle w:val="hyperlink"/>
                </w:rPr>
                <w:t xml:space="preserve">https://bytedance.larkoffice.com/docx/OUQ6d50Rpoga7YxrqUrchWp0ncg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腾讯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5">
              <w:r>
                <w:rPr>
                  <w:sz w:val="24"/>
                  <w:rStyle w:val="hyperlink"/>
                </w:rPr>
                <w:t xml:space="preserve">小游戏转化归因接入指引（新链路）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可以联调，待投放授权账户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快手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6">
              <w:r>
                <w:rPr>
                  <w:sz w:val="24"/>
                  <w:rStyle w:val="hyperlink"/>
                </w:rPr>
                <w:t xml:space="preserve">微信小程序API归因上报 - 轻雀文档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聚星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7">
              <w:r>
                <w:rPr>
                  <w:sz w:val="24"/>
                  <w:rStyle w:val="hyperlink"/>
                </w:rPr>
                <w:t xml:space="preserve">微信小程序API归因上报 - 轻雀文档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微博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8">
              <w:r>
                <w:rPr>
                  <w:sz w:val="24"/>
                  <w:rStyle w:val="hyperlink"/>
                </w:rPr>
                <w:t xml:space="preserve">⁠‬‬⁠﻿⁠微博微信(含小程序异步)资产联调手册 - 飞书云文档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可以联调，待投放授权账户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ECF9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百度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29">
              <w:r>
                <w:rPr>
                  <w:sz w:val="24"/>
                  <w:rStyle w:val="hyperlink"/>
                </w:rPr>
                <w:t xml:space="preserve">百度营销-商业开发者中心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可以联调，待投放授权账户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5F1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ECF9F0"/>
          </w:tcPr>
          <w:p>
            <w:pPr/>
            <w:r>
              <w:t xml:space="preserve">小红书</w:t>
            </w:r>
          </w:p>
        </w:tc>
        <w:tc>
          <w:tcPr>
            <w:tcW w:w="5085" w:type="dxa"/>
            <w:vAlign w:val="center"/>
            <w:shd w:val="clear" w:color="auto" w:fill="ECF9F0"/>
          </w:tcPr>
          <w:p>
            <w:pPr/>
            <w:r/>
            <w:hyperlink r:id="rId30">
              <w:r>
                <w:rPr>
                  <w:sz w:val="24"/>
                  <w:rStyle w:val="hyperlink"/>
                </w:rPr>
                <w:t xml:space="preserve">【小程序推广-微信小程序】操作指南</w:t>
              </w:r>
            </w:hyperlink>
            <w:r/>
          </w:p>
        </w:tc>
        <w:tc>
          <w:tcPr>
            <w:tcW w:w="3225" w:type="dxa"/>
            <w:shd w:val="clear" w:color="auto" w:fill="ECF9F0"/>
          </w:tcPr>
          <w:p>
            <w:pPr/>
            <w:r>
              <w:t xml:space="preserve">可以联调，待投放授权账户</w:t>
            </w:r>
          </w:p>
        </w:tc>
      </w:tr>
      <w:tr>
        <w:trPr>
          <w:trHeight w:val="0"/>
        </w:trPr>
        <w:tc>
          <w:tcPr>
            <w:tcW w:w="840" w:type="dxa"/>
            <w:vMerge w:val="restart"/>
            <w:vAlign w:val="center"/>
            <w:shd w:val="clear" w:color="auto" w:fill="F5F1F0"/>
          </w:tcPr>
          <w:p>
            <w:pPr/>
            <w:r>
              <w:t xml:space="preserve">抖小</w:t>
            </w:r>
          </w:p>
        </w:tc>
        <w:tc>
          <w:tcPr>
            <w:tcW w:w="1515" w:type="dxa"/>
            <w:vAlign w:val="center"/>
            <w:shd w:val="clear" w:color="auto" w:fill="F5F1F0"/>
          </w:tcPr>
          <w:p>
            <w:pPr/>
            <w:r>
              <w:t xml:space="preserve">巨量</w:t>
            </w:r>
          </w:p>
        </w:tc>
        <w:tc>
          <w:tcPr>
            <w:tcW w:w="5085" w:type="dxa"/>
            <w:vAlign w:val="center"/>
            <w:shd w:val="clear" w:color="auto" w:fill="F5F1F0"/>
          </w:tcPr>
          <w:p>
            <w:pPr/>
            <w:r/>
            <w:hyperlink r:id="rId31">
              <w:r>
                <w:rPr>
                  <w:sz w:val="24"/>
                  <w:rStyle w:val="hyperlink"/>
                </w:rPr>
                <w:t xml:space="preserve">‬‬⁠‬﻿﻿⁠⁠抖音小游戏-直投全流程投放指引 - 飞书云文档</w:t>
              </w:r>
            </w:hyperlink>
            <w:r/>
          </w:p>
        </w:tc>
        <w:tc>
          <w:tcPr>
            <w:tcW w:w="3225" w:type="dxa"/>
            <w:shd w:val="clear" w:color="auto" w:fill="F5F1F0"/>
          </w:tcPr>
          <w:p>
            <w:pPr/>
            <w:r>
              <w:t xml:space="preserve">可以联调，待投放授权账户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5F1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F5F1F0"/>
          </w:tcPr>
          <w:p>
            <w:pPr/>
            <w:r>
              <w:t xml:space="preserve">星广联投</w:t>
            </w:r>
          </w:p>
        </w:tc>
        <w:tc>
          <w:tcPr>
            <w:tcW w:w="5085" w:type="dxa"/>
            <w:vAlign w:val="center"/>
            <w:shd w:val="clear" w:color="auto" w:fill="F5F1F0"/>
          </w:tcPr>
          <w:p>
            <w:pPr/>
            <w:r/>
            <w:hyperlink r:id="rId32">
              <w:r>
                <w:rPr>
                  <w:rStyle w:val="hyperlink"/>
                </w:rPr>
                <w:t xml:space="preserve">https://bytedance.larkoffice.com/docx/OUQ6d50Rpoga7YxrqUrchWp0ncg</w:t>
              </w:r>
            </w:hyperlink>
            <w:r/>
          </w:p>
        </w:tc>
        <w:tc>
          <w:tcPr>
            <w:tcW w:w="3225" w:type="dxa"/>
            <w:shd w:val="clear" w:color="auto" w:fill="F5F1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5F1F0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F5F1F0"/>
          </w:tcPr>
          <w:p>
            <w:pPr/>
            <w:r>
              <w:t xml:space="preserve">星图</w:t>
            </w:r>
          </w:p>
        </w:tc>
        <w:tc>
          <w:tcPr>
            <w:tcW w:w="5085" w:type="dxa"/>
            <w:vAlign w:val="center"/>
            <w:shd w:val="clear" w:color="auto" w:fill="F5F1F0"/>
          </w:tcPr>
          <w:p>
            <w:pPr/>
            <w:r/>
            <w:hyperlink r:id="rId33">
              <w:r>
                <w:rPr>
                  <w:sz w:val="24"/>
                  <w:rStyle w:val="hyperlink"/>
                </w:rPr>
                <w:t xml:space="preserve">星图监测联调工具使用说明-星图营销服务平台</w:t>
              </w:r>
            </w:hyperlink>
            <w:r/>
          </w:p>
        </w:tc>
        <w:tc>
          <w:tcPr>
            <w:tcW w:w="3225" w:type="dxa"/>
            <w:shd w:val="clear" w:color="auto" w:fill="F5F1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AE5"/>
          </w:tcPr>
          <w:p>
            <w:pPr/>
            <w:r/>
          </w:p>
        </w:tc>
        <w:tc>
          <w:tcPr>
            <w:tcW w:w="1515" w:type="dxa"/>
            <w:vAlign w:val="center"/>
            <w:shd w:val="clear" w:color="auto" w:fill="F5F1F0"/>
          </w:tcPr>
          <w:p>
            <w:pPr/>
            <w:r>
              <w:t xml:space="preserve">抖音小手柄</w:t>
            </w:r>
          </w:p>
        </w:tc>
        <w:tc>
          <w:tcPr>
            <w:tcW w:w="5085" w:type="dxa"/>
            <w:vAlign w:val="center"/>
            <w:shd w:val="clear" w:color="auto" w:fill="F5F1F0"/>
          </w:tcPr>
          <w:p>
            <w:pPr/>
            <w:r/>
          </w:p>
        </w:tc>
        <w:tc>
          <w:tcPr>
            <w:tcW w:w="3225" w:type="dxa"/>
            <w:shd w:val="clear" w:color="auto" w:fill="F5F1F0"/>
          </w:tcPr>
          <w:p>
            <w:pPr/>
            <w:r>
              <w:t xml:space="preserve">－</w:t>
            </w:r>
          </w:p>
        </w:tc>
      </w:tr>
      <w:tr>
        <w:trPr>
          <w:trHeight w:val="0"/>
        </w:trPr>
        <w:tc>
          <w:tcPr>
            <w:tcW w:w="840" w:type="dxa"/>
            <w:vAlign w:val="center"/>
            <w:shd w:val="clear" w:color="auto" w:fill="F0EBF7"/>
          </w:tcPr>
          <w:p>
            <w:pPr/>
            <w:r>
              <w:t xml:space="preserve">支小</w:t>
            </w:r>
          </w:p>
        </w:tc>
        <w:tc>
          <w:tcPr>
            <w:tcW w:w="1515" w:type="dxa"/>
            <w:vAlign w:val="center"/>
            <w:shd w:val="clear" w:color="auto" w:fill="F0EBF7"/>
          </w:tcPr>
          <w:p>
            <w:pPr/>
            <w:r>
              <w:t xml:space="preserve">支付宝广告</w:t>
            </w:r>
          </w:p>
        </w:tc>
        <w:tc>
          <w:tcPr>
            <w:tcW w:w="5085" w:type="dxa"/>
            <w:vAlign w:val="center"/>
            <w:shd w:val="clear" w:color="auto" w:fill="F0EBF7"/>
          </w:tcPr>
          <w:p>
            <w:pPr/>
            <w:r/>
            <w:hyperlink r:id="rId34">
              <w:r>
                <w:rPr>
                  <w:sz w:val="24"/>
                  <w:rStyle w:val="hyperlink"/>
                </w:rPr>
                <w:t xml:space="preserve">支付宝数字推广平台</w:t>
              </w:r>
            </w:hyperlink>
            <w:r/>
          </w:p>
        </w:tc>
        <w:tc>
          <w:tcPr>
            <w:tcW w:w="3225" w:type="dxa"/>
            <w:shd w:val="clear" w:color="auto" w:fill="F0EBF7"/>
          </w:tcPr>
          <w:p>
            <w:pPr/>
            <w:r>
              <w:t xml:space="preserve">可以联调，待投放授权账户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2">
      <w:start w:val="1"/>
      <w:numFmt w:val="decimal"/>
      <w:lvlText w:val="%1"/>
      <w:lvlJc w:val="left"/>
      <w:pPr>
        <w:ind w:left="1260" w:hanging="42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rpNMnyf4mv5p6Ad9nL1?iframeQuery=anchorId%253DX02mh07j4zn55fp79j4dyg" TargetMode="External" />
  <Relationship Id="rId5" Type="http://schemas.openxmlformats.org/officeDocument/2006/relationships/hyperlink" Target="https://huxuan.qq.com/trade/free/help_detail?post_ids=8348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image" Target="media/image5.png" />
  <Relationship Id="rId11" Type="http://schemas.openxmlformats.org/officeDocument/2006/relationships/hyperlink" Target="https://docs.xiaoshanim.com/i/nodes/7gNKMlbrq3WXArpNMnyf4mv5p6Ad9nL1?iframeQuery=anchorId%253DX02mh4hbz33us4zddrzknm" TargetMode="External" />
  <Relationship Id="rId12" Type="http://schemas.openxmlformats.org/officeDocument/2006/relationships/image" Target="media/image6.png" />
  <Relationship Id="rId13" Type="http://schemas.openxmlformats.org/officeDocument/2006/relationships/hyperlink" Target="https://bytedance.larkoffice.com/docx/VQyodsUBRoyPPpx17V8cKR8Mnre" TargetMode="External" />
  <Relationship Id="rId14" Type="http://schemas.openxmlformats.org/officeDocument/2006/relationships/hyperlink" Target="https://docs.qq.com/doc/DS3VjRW9RcFdWU2ZR" TargetMode="External" />
  <Relationship Id="rId15" Type="http://schemas.openxmlformats.org/officeDocument/2006/relationships/hyperlink" Target="https://docs.qingque.cn/d/home/eZQDEsB5yBhdU1IXnASbDEVXw?identityId=1sjyo9zFtH1" TargetMode="External" />
  <Relationship Id="rId16" Type="http://schemas.openxmlformats.org/officeDocument/2006/relationships/hyperlink" Target="https://a6ni3h1q1k.feishu.cn/docx/Y8Opd33q7olGumxGT8wc20nEnze" TargetMode="External" />
  <Relationship Id="rId17" Type="http://schemas.openxmlformats.org/officeDocument/2006/relationships/hyperlink" Target="https://dev2.baidu.com/content?sceneType=0&amp;pageId=101211&amp;nodeId=658&amp;subhead=" TargetMode="External" />
  <Relationship Id="rId18" Type="http://schemas.openxmlformats.org/officeDocument/2006/relationships/hyperlink" Target="https://doc.weixin.qq.com/doc/w3_ATsApQZaACIqp4yEqooRr0Xgex1wh?scode=ANAAyQcbAAg5ssl0eyz1GM1C6AAFY" TargetMode="External" />
  <Relationship Id="rId19" Type="http://schemas.openxmlformats.org/officeDocument/2006/relationships/hyperlink" Target="https://bytedance.larkoffice.com/docx/CWF8di9wFo2hqFxOPHhcydjEnZf" TargetMode="External" />
  <Relationship Id="rId20" Type="http://schemas.openxmlformats.org/officeDocument/2006/relationships/hyperlink" Target="https://docs.xiaoshanim.com/i/nodes/7gNKMlbrq3WXA2vy0N1u4mv5p6Ad9nL1?#" TargetMode="External" />
  <Relationship Id="rId21" Type="http://schemas.openxmlformats.org/officeDocument/2006/relationships/image" Target="media/image7.png" />
  <Relationship Id="rId22" Type="http://schemas.openxmlformats.org/officeDocument/2006/relationships/hyperlink" Target="https://bytedance.larkoffice.com/docx/VQyodsUBRoyPPpx17V8cKR8Mnre" TargetMode="External" />
  <Relationship Id="rId23" Type="http://schemas.openxmlformats.org/officeDocument/2006/relationships/hyperlink" Target="https://www.xingtu.cn/help-center/demander/121314" TargetMode="External" />
  <Relationship Id="rId24" Type="http://schemas.openxmlformats.org/officeDocument/2006/relationships/hyperlink" Target="https://bytedance.larkoffice.com/docx/OUQ6d50Rpoga7YxrqUrchWp0ncg" TargetMode="External" />
  <Relationship Id="rId25" Type="http://schemas.openxmlformats.org/officeDocument/2006/relationships/hyperlink" Target="https://docs.qq.com/doc/DS3VjRW9RcFdWU2ZR" TargetMode="External" />
  <Relationship Id="rId26" Type="http://schemas.openxmlformats.org/officeDocument/2006/relationships/hyperlink" Target="https://docs.qingque.cn/d/home/eZQDEsB5yBhdU1IXnASbDEVXw?identityId=1sjyo9zFtH1" TargetMode="External" />
  <Relationship Id="rId27" Type="http://schemas.openxmlformats.org/officeDocument/2006/relationships/hyperlink" Target="https://docs.qingque.cn/d/home/eZQDEsB5yBhdU1IXnASbDEVXw?identityId=1sjyo9zFtH1" TargetMode="External" />
  <Relationship Id="rId28" Type="http://schemas.openxmlformats.org/officeDocument/2006/relationships/hyperlink" Target="https://a6ni3h1q1k.feishu.cn/docx/Y8Opd33q7olGumxGT8wc20nEnze" TargetMode="External" />
  <Relationship Id="rId29" Type="http://schemas.openxmlformats.org/officeDocument/2006/relationships/hyperlink" Target="https://dev2.baidu.com/content?sceneType=0&amp;pageId=101211&amp;nodeId=658&amp;subhead=" TargetMode="External" />
  <Relationship Id="rId30" Type="http://schemas.openxmlformats.org/officeDocument/2006/relationships/hyperlink" Target="https://doc.weixin.qq.com/doc/w3_ATsApQZaACIqp4yEqooRr0Xgex1wh?scode=ANAAyQcbAAg5ssl0eyz1GM1C6AAFY" TargetMode="External" />
  <Relationship Id="rId31" Type="http://schemas.openxmlformats.org/officeDocument/2006/relationships/hyperlink" Target="https://bytedance.larkoffice.com/docx/CWF8di9wFo2hqFxOPHhcydjEnZf" TargetMode="External" />
  <Relationship Id="rId32" Type="http://schemas.openxmlformats.org/officeDocument/2006/relationships/hyperlink" Target="https://bytedance.larkoffice.com/docx/OUQ6d50Rpoga7YxrqUrchWp0ncg" TargetMode="External" />
  <Relationship Id="rId33" Type="http://schemas.openxmlformats.org/officeDocument/2006/relationships/hyperlink" Target="https://www.xingtu.cn/help-center/demander/121314" TargetMode="External" />
  <Relationship Id="rId34" Type="http://schemas.openxmlformats.org/officeDocument/2006/relationships/hyperlink" Target="https://adpub.alipay.com/lark/adrlark/tfigagyykq9f8geq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