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V3.14.2.4-自然量分摊团队逻辑调整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之前的自然量分成逻辑废弃, 按照新的分成逻辑实现。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解决夺帅等项目自然量分摊团队的数据问题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780"/>
        <w:gridCol w:w="1230"/>
        <w:gridCol w:w="5025"/>
        <w:gridCol w:w="118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1005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50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自然量团队分摊逻辑调整为只分摊iOS和H5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四、逻辑</w:t>
      </w:r>
    </w:p>
    <w:p>
      <w:pPr/>
      <w:r>
        <w:t xml:space="preserve">新逻辑改动: </w:t>
      </w:r>
    </w:p>
    <w:p>
      <w:pPr/>
      <w:r>
        <w:t xml:space="preserve">1.按各应用类型的消耗比例计算分摊比例 </w:t>
      </w:r>
    </w:p>
    <w:p>
      <w:pPr/>
      <w:r>
        <w:t xml:space="preserve">2.目前只计算IOS,H5(WEIXIN、DOUYIN、KUAISHOU、...) 这两种类型的自然量分摊, ANDROID、PC、WEB 等应用类型的自然量团队全部是未知。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