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v3.12.3-融合归因【8.28上线】</w:t>
      </w:r>
    </w:p>
    <w:p>
      <w:pPr>
        <w:pStyle w:val="dingding-heading1"/>
      </w:pPr>
      <w:r>
        <w:rPr>
          <w:color w:val="000000"/>
          <w:b w:val="1"/>
        </w:rPr>
        <w:t xml:space="preserve">一、背景</w:t>
      </w:r>
    </w:p>
    <w:p>
      <w:pPr/>
      <w:r>
        <w:rPr>
          <w:sz w:val="24"/>
          <w:color w:val="000000"/>
        </w:rPr>
      </w:r>
      <w:hyperlink r:id="rId4">
        <w:r>
          <w:rPr>
            <w:rStyle w:val="hyperlink"/>
          </w:rPr>
          <w:t xml:space="preserve">《融合归因控制版-说明v1.1》</w:t>
        </w:r>
      </w:hyperlink>
      <w:r>
        <w:rPr>
          <w:sz w:val="24"/>
          <w:color w:val="000000"/>
        </w:rPr>
      </w:r>
    </w:p>
    <w:p>
      <w:pPr/>
      <w:r>
        <w:rPr>
          <w:sz w:val="24"/>
          <w:color w:val="000000"/>
        </w:rPr>
      </w:r>
    </w:p>
    <w:p>
      <w:pPr>
        <w:pStyle w:val="dingding-heading1"/>
      </w:pPr>
      <w:r>
        <w:rPr>
          <w:color w:val="000000"/>
          <w:b w:val="1"/>
        </w:rPr>
        <w:t xml:space="preserve">二、目标</w:t>
      </w:r>
    </w:p>
    <w:p>
      <w:pPr/>
      <w:r>
        <w:rPr>
          <w:sz w:val="24"/>
          <w:color w:val="000000"/>
        </w:rPr>
        <w:t xml:space="preserve">手杀通过融合归因审查，不影响其它游戏投放。</w:t>
      </w:r>
    </w:p>
    <w:p>
      <w:pPr/>
      <w:r>
        <w:rPr>
          <w:sz w:val="24"/>
          <w:color w:val="000000"/>
        </w:rPr>
      </w:r>
    </w:p>
    <w:p>
      <w:pPr>
        <w:pStyle w:val="dingding-heading1"/>
      </w:pPr>
      <w:r>
        <w:rPr>
          <w:color w:val="00000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1035"/>
        <w:gridCol w:w="1440"/>
        <w:gridCol w:w="1365"/>
        <w:gridCol w:w="6075"/>
        <w:gridCol w:w="1335"/>
      </w:tblGrid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版本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模块</w:t>
            </w:r>
          </w:p>
        </w:tc>
        <w:tc>
          <w:tcPr>
            <w:tcW w:w="6075" w:type="dxa"/>
            <w:vAlign w:val="center"/>
          </w:tcPr>
          <w:p>
            <w:pPr>
              <w:jc w:val="left"/>
            </w:pPr>
            <w:r>
              <w:rPr>
                <w:sz w:val="24"/>
                <w:color w:val="000000"/>
                <w:b w:val="1"/>
              </w:rPr>
              <w:t xml:space="preserve">需求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jc w:val="center"/>
            </w:pPr>
            <w:r>
              <w:t xml:space="preserve">V3.12.3</w:t>
            </w:r>
          </w:p>
        </w:tc>
        <w:tc>
          <w:tcPr>
            <w:tcW w:w="136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数据上报</w:t>
            </w:r>
          </w:p>
        </w:tc>
        <w:tc>
          <w:tcPr>
            <w:tcW w:w="6075" w:type="dxa"/>
            <w:vAlign w:val="center"/>
          </w:tcPr>
          <w:p>
            <w:pPr>
              <w:jc w:val="left"/>
            </w:pPr>
            <w:r>
              <w:rPr>
                <w:sz w:val="24"/>
                <w:color w:val="000000"/>
              </w:rPr>
              <w:t xml:space="preserve">策略控制和游戏客户端交互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03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6075" w:type="dxa"/>
          </w:tcPr>
          <w:p>
            <w:pPr/>
            <w:r>
              <w:t xml:space="preserve">接口异常时默认不上报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P0</w:t>
            </w:r>
          </w:p>
        </w:tc>
      </w:tr>
      <w:tr>
        <w:trPr>
          <w:trHeight w:val="66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2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136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策略控制</w:t>
            </w:r>
          </w:p>
        </w:tc>
        <w:tc>
          <w:tcPr>
            <w:tcW w:w="6075" w:type="dxa"/>
            <w:vAlign w:val="center"/>
          </w:tcPr>
          <w:p>
            <w:pPr>
              <w:jc w:val="left"/>
            </w:pPr>
            <w:r>
              <w:t xml:space="preserve">指定游戏版本的过滤上报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P1</w:t>
            </w:r>
          </w:p>
        </w:tc>
      </w:tr>
      <w:tr>
        <w:trPr>
          <w:trHeight w:val="0"/>
        </w:trPr>
        <w:tc>
          <w:tcPr>
            <w:tcW w:w="103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6075" w:type="dxa"/>
          </w:tcPr>
          <w:p>
            <w:pPr/>
            <w:r>
              <w:rPr>
                <w:sz w:val="24"/>
                <w:color w:val="000000"/>
              </w:rPr>
              <w:t xml:space="preserve">指定媒体组和其它媒体分别控制激活的上报比例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P1</w:t>
            </w:r>
          </w:p>
        </w:tc>
      </w:tr>
      <w:tr>
        <w:trPr>
          <w:trHeight w:val="0"/>
        </w:trPr>
        <w:tc>
          <w:tcPr>
            <w:tcW w:w="103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6075" w:type="dxa"/>
          </w:tcPr>
          <w:p>
            <w:pPr/>
            <w:r>
              <w:t xml:space="preserve">已上报激活的设备的启动上报，上报天数控制（默认90天）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66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1365" w:type="dxa"/>
            <w:vMerge w:val="restart"/>
            <w:vAlign w:val="center"/>
          </w:tcPr>
          <w:p>
            <w:pPr>
              <w:jc w:val="center"/>
            </w:pPr>
            <w:r>
              <w:t xml:space="preserve">API回推</w:t>
            </w:r>
          </w:p>
        </w:tc>
        <w:tc>
          <w:tcPr>
            <w:tcW w:w="6075" w:type="dxa"/>
            <w:vAlign w:val="center"/>
          </w:tcPr>
          <w:p>
            <w:pPr>
              <w:jc w:val="left"/>
            </w:pPr>
            <w:r>
              <w:t xml:space="preserve">巨量过滤未上报的设备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P1</w:t>
            </w:r>
          </w:p>
        </w:tc>
      </w:tr>
      <w:tr>
        <w:trPr>
          <w:trHeight w:val="0"/>
        </w:trPr>
        <w:tc>
          <w:tcPr>
            <w:tcW w:w="103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6075" w:type="dxa"/>
          </w:tcPr>
          <w:p>
            <w:pPr/>
            <w:r>
              <w:t xml:space="preserve">星图/星广/抖音游戏过滤未上报的设备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6075" w:type="dxa"/>
          </w:tcPr>
          <w:p>
            <w:pPr/>
            <w:r>
              <w:t xml:space="preserve">指定游戏版本的过滤上报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P1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>
              <w:jc w:val="center"/>
            </w:pPr>
            <w:r>
              <w:t xml:space="preserve">自归因</w:t>
            </w:r>
          </w:p>
        </w:tc>
        <w:tc>
          <w:tcPr>
            <w:tcW w:w="6075" w:type="dxa"/>
            <w:vAlign w:val="center"/>
          </w:tcPr>
          <w:p>
            <w:pPr>
              <w:jc w:val="left"/>
            </w:pPr>
            <w:r>
              <w:t xml:space="preserve">全渠道的点击归因结果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6075" w:type="dxa"/>
            <w:vAlign w:val="center"/>
          </w:tcPr>
          <w:p>
            <w:pPr>
              <w:jc w:val="left"/>
            </w:pPr>
            <w:r>
              <w:t xml:space="preserve">按融合归因结果统计报表（暂缓）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P3</w:t>
            </w:r>
          </w:p>
        </w:tc>
      </w:tr>
    </w:tbl>
    <w:p>
      <w:pPr>
        <w:pStyle w:val="dingding-heading1"/>
      </w:pPr>
      <w:r>
        <w:rPr>
          <w:color w:val="000000"/>
          <w:b w:val="1"/>
        </w:rPr>
        <w:t xml:space="preserve">四、需求说明</w:t>
      </w:r>
    </w:p>
    <w:p>
      <w:pPr/>
      <w:r/>
    </w:p>
    <w:p>
      <w:pPr/>
      <w:r/>
      <w:hyperlink r:id="rId5">
        <w:r>
          <w:rPr>
            <w:rStyle w:val="hyperlink"/>
          </w:rPr>
          <w:t xml:space="preserve">《融合归因控制版-说明v1.1》</w:t>
        </w:r>
      </w:hyperlink>
      <w:r/>
    </w:p>
    <w:p>
      <w:pPr/>
      <w:r/>
    </w:p>
    <w:p>
      <w:hyperlink r:id="rId6">
        <w:r>
          <w:rPr>
            <w:rStyle w:val="hyperlink"/>
          </w:rPr>
          <w:t xml:space="preserve">请至钉钉文档查看「白板」</w:t>
        </w:r>
      </w:hyperlink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NWeDy5i4mv5p6Ad9nL1?utm_scene=team_space" TargetMode="External" />
  <Relationship Id="rId5" Type="http://schemas.openxmlformats.org/officeDocument/2006/relationships/hyperlink" Target="https://docs.xiaoshanim.com/i/nodes/7gNKMlbrq3WXANWeDy5i4mv5p6Ad9nL1?utm_scene=team_space" TargetMode="External" />
  <Relationship Id="rId6" Type="http://schemas.openxmlformats.org/officeDocument/2006/relationships/hyperlink" Target="https://docs.xiaoshanim.com/i/nodes/7gNKMlbrq3WXANjMZMrh4mv5p6Ad9nL1?iframeQuery=anchorId%253DX02menoi9sjpkcb98bhu4p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