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v3.14.11-鸿蒙对接腾讯融合归因</w:t>
      </w:r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960"/>
        <w:gridCol w:w="1245"/>
        <w:gridCol w:w="1125"/>
      </w:tblGrid>
      <w:tr>
        <w:trPr>
          <w:trHeight w:val="58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产品版本号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修订内容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修订时间</w:t>
            </w:r>
          </w:p>
        </w:tc>
        <w:tc>
          <w:tcPr>
            <w:tcW w:w="9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修订人</w:t>
            </w:r>
          </w:p>
        </w:tc>
        <w:tc>
          <w:tcPr>
            <w:tcW w:w="124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评审状态</w:t>
            </w:r>
          </w:p>
        </w:tc>
        <w:tc>
          <w:tcPr>
            <w:tcW w:w="11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备注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v3.14.9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t xml:space="preserve">初稿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2026-3-3</w:t>
            </w:r>
          </w:p>
        </w:tc>
        <w:tc>
          <w:tcPr>
            <w:tcW w:w="9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24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评审通过</w:t>
            </w:r>
          </w:p>
        </w:tc>
        <w:tc>
          <w:tcPr>
            <w:tcW w:w="112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1065"/>
        <w:gridCol w:w="1365"/>
        <w:gridCol w:w="2085"/>
        <w:gridCol w:w="2865"/>
        <w:gridCol w:w="2775"/>
        <w:gridCol w:w="2460"/>
        <w:gridCol w:w="1950"/>
        <w:gridCol w:w="2145"/>
        <w:gridCol w:w="1485"/>
        <w:gridCol w:w="1485"/>
        <w:gridCol w:w="1500"/>
        <w:gridCol w:w="1410"/>
      </w:tblGrid>
      <w:tr>
        <w:trPr>
          <w:trHeight w:val="525"/>
        </w:trPr>
        <w:tc>
          <w:tcPr>
            <w:tcW w:w="10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变更维度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变更前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变更后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功能补充说明 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UI原型补充截图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影响范围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b w:val="1"/>
              </w:rPr>
              <w:t xml:space="preserve">变更原因与必要性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修订人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修订日期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评审状态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87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  <w:tr>
        <w:trPr>
          <w:trHeight w:val="66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一、背景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590"/>
        <w:gridCol w:w="9315"/>
      </w:tblGrid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业务背景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手杀和一将的鸿蒙要投腾讯广告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要解决的问题</w:t>
            </w:r>
          </w:p>
        </w:tc>
        <w:tc>
          <w:tcPr>
            <w:tcW w:w="9315" w:type="dxa"/>
            <w:vAlign w:val="center"/>
          </w:tcPr>
          <w:p>
            <w:pPr>
              <w:ind/>
            </w:pPr>
            <w:r>
              <w:t xml:space="preserve">1.腾讯广告支持鸿蒙的数据监测</w:t>
            </w:r>
          </w:p>
          <w:p>
            <w:pPr>
              <w:ind/>
            </w:pPr>
            <w:r>
              <w:t xml:space="preserve">2.支持按策略回推鸿蒙数据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解决方案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鸿蒙集成腾讯融合归因，并支持按策略回推数据。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决策依据</w:t>
            </w:r>
          </w:p>
        </w:tc>
        <w:tc>
          <w:tcPr>
            <w:tcW w:w="9315" w:type="dxa"/>
            <w:vAlign w:val="center"/>
          </w:tcPr>
          <w:p>
            <w:pPr/>
            <w:r/>
            <w:hyperlink r:id="rId4">
              <w:r>
                <w:rPr>
                  <w:rStyle w:val="hyperlink"/>
                </w:rPr>
                <w:t xml:space="preserve">腾讯鸿蒙接入文档</w:t>
              </w:r>
            </w:hyperlink>
            <w:r/>
          </w:p>
          <w:p>
            <w:pPr/>
            <w:r/>
            <w:hyperlink r:id="rId5">
              <w:r>
                <w:rPr>
                  <w:rStyle w:val="hyperlink"/>
                </w:rPr>
                <w:t xml:space="preserve">鸿蒙对接方案</w:t>
              </w:r>
            </w:hyperlink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二、版本</w:t>
      </w:r>
      <w:r>
        <w:rPr>
          <w:sz w:val="40"/>
          <w:b w:val="1"/>
        </w:rPr>
        <w:t xml:space="preserve">目标</w:t>
      </w:r>
    </w:p>
    <w:tbl>
      <w:tblPr>
        <w:tblStyle w:val="TableGrid"/>
        <w:tblW w:w="0" w:type="auto"/>
      </w:tblPr>
      <w:tblGrid>
        <w:gridCol w:w="975"/>
        <w:gridCol w:w="6390"/>
        <w:gridCol w:w="4275"/>
        <w:gridCol w:w="3240"/>
        <w:gridCol w:w="313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639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产品/业务目标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价值收益</w:t>
            </w:r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衡量标准</w:t>
            </w:r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复盘结论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639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手杀鸿蒙可在腾讯广告投放：支持监测和回推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67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tcW w:w="639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手杀可控制核心数据上报，平衡数据安全和媒体机制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三、</w:t>
      </w:r>
      <w:r>
        <w:rPr>
          <w:sz w:val="40"/>
          <w:b w:val="1"/>
        </w:rPr>
        <w:t xml:space="preserve">需求清单</w:t>
      </w:r>
    </w:p>
    <w:tbl>
      <w:tblPr>
        <w:tblStyle w:val="TableGrid"/>
        <w:tblW w:w="0" w:type="auto"/>
      </w:tblPr>
      <w:tblGrid>
        <w:gridCol w:w="1125"/>
        <w:gridCol w:w="1125"/>
        <w:gridCol w:w="3300"/>
        <w:gridCol w:w="5550"/>
        <w:gridCol w:w="1965"/>
      </w:tblGrid>
      <w:tr>
        <w:trPr>
          <w:trHeight w:val="570"/>
        </w:trPr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b w:val="1"/>
              </w:rPr>
              <w:t xml:space="preserve">模块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需求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描述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相关开发</w:t>
            </w:r>
          </w:p>
        </w:tc>
      </w:tr>
      <w:tr>
        <w:trPr>
          <w:trHeight w:val="138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FE0300"/>
                <w:b w:val="1"/>
              </w:rPr>
              <w:t xml:space="preserve">P0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推广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鸿蒙对接腾讯广告控制版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支持鸿蒙创建腾讯广告的活动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支持监测归因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支持按策略控制鸿蒙-腾讯广告的回推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t xml:space="preserve">前后端</w:t>
            </w:r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FCC102"/>
                <w:b w:val="1"/>
              </w:rP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推广</w:t>
            </w:r>
          </w:p>
        </w:tc>
        <w:tc>
          <w:tcPr>
            <w:tcW w:w="33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鸿蒙巨量/腾讯融合归因gssdk对接</w:t>
            </w:r>
          </w:p>
        </w:tc>
        <w:tc>
          <w:tcPr>
            <w:tcW w:w="55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支持GSSDK对接鸿蒙归因的策略版</w:t>
            </w:r>
          </w:p>
        </w:tc>
        <w:tc>
          <w:tcPr>
            <w:tcW w:w="196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P2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推广</w:t>
            </w:r>
          </w:p>
        </w:tc>
        <w:tc>
          <w:tcPr>
            <w:tcW w:w="33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鸿蒙对接腾讯广告全量版</w:t>
            </w:r>
          </w:p>
        </w:tc>
        <w:tc>
          <w:tcPr>
            <w:tcW w:w="55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支持鸿蒙-腾讯广告全量版融合归因</w:t>
            </w:r>
          </w:p>
        </w:tc>
        <w:tc>
          <w:tcPr>
            <w:tcW w:w="196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P2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查询工具</w:t>
            </w:r>
          </w:p>
        </w:tc>
        <w:tc>
          <w:tcPr>
            <w:tcW w:w="330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设备id展示原值便于查询</w:t>
            </w:r>
          </w:p>
        </w:tc>
        <w:tc>
          <w:tcPr>
            <w:tcW w:w="5550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H5deviceID展示原值，并支持筛选搜索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用户细查和回推细查页面均调整</w:t>
            </w:r>
          </w:p>
        </w:tc>
        <w:tc>
          <w:tcPr>
            <w:tcW w:w="1965" w:type="dxa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四、</w:t>
      </w:r>
      <w:r>
        <w:rPr>
          <w:sz w:val="40"/>
          <w:b w:val="1"/>
        </w:rPr>
        <w:t xml:space="preserve">功能列表</w:t>
      </w:r>
    </w:p>
    <w:tbl>
      <w:tblPr>
        <w:tblStyle w:val="TableGrid"/>
        <w:tblW w:w="0" w:type="auto"/>
      </w:tblPr>
      <w:tblGrid>
        <w:gridCol w:w="795"/>
        <w:gridCol w:w="1155"/>
        <w:gridCol w:w="2070"/>
        <w:gridCol w:w="5940"/>
        <w:gridCol w:w="1140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模块</w:t>
            </w:r>
          </w:p>
        </w:tc>
        <w:tc>
          <w:tcPr>
            <w:tcW w:w="207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b w:val="1"/>
              </w:rPr>
              <w:t xml:space="preserve">页面</w:t>
            </w:r>
          </w:p>
        </w:tc>
        <w:tc>
          <w:tcPr>
            <w:tcW w:w="594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</w:t>
            </w:r>
          </w:p>
        </w:tc>
        <w:tc>
          <w:tcPr>
            <w:tcW w:w="1140" w:type="dxa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b w:val="1"/>
              </w:rPr>
              <w:t xml:space="preserve">优先级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</w:t>
            </w:r>
          </w:p>
        </w:tc>
        <w:tc>
          <w:tcPr>
            <w:tcW w:w="115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推广</w:t>
            </w:r>
          </w:p>
        </w:tc>
        <w:tc>
          <w:tcPr>
            <w:tcW w:w="207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媒体管理</w:t>
            </w:r>
          </w:p>
        </w:tc>
        <w:tc>
          <w:tcPr>
            <w:tcW w:w="5940" w:type="dxa"/>
            <w:vAlign w:val="center"/>
          </w:tcPr>
          <w:p>
            <w:pPr/>
            <w:r>
              <w:t xml:space="preserve">新增鸿蒙-巨量广告</w:t>
            </w:r>
          </w:p>
        </w:tc>
        <w:tc>
          <w:tcPr>
            <w:tcW w:w="1140" w:type="dxa"/>
          </w:tcPr>
          <w:p>
            <w:pPr/>
            <w:r>
              <w:t xml:space="preserve">P0</w:t>
            </w:r>
          </w:p>
        </w:tc>
      </w:tr>
      <w:tr>
        <w:trPr>
          <w:trHeight w:val="63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07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监测链接管理</w:t>
            </w:r>
          </w:p>
        </w:tc>
        <w:tc>
          <w:tcPr>
            <w:tcW w:w="5940" w:type="dxa"/>
            <w:vAlign w:val="center"/>
          </w:tcPr>
          <w:p>
            <w:pPr/>
            <w:r>
              <w:t xml:space="preserve">支持创建鸿蒙-腾讯的监测活动</w:t>
            </w:r>
          </w:p>
        </w:tc>
        <w:tc>
          <w:tcPr>
            <w:tcW w:w="1140" w:type="dxa"/>
          </w:tcPr>
          <w:p>
            <w:pPr/>
            <w:r>
              <w:t xml:space="preserve">P0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07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回推管理</w:t>
            </w:r>
          </w:p>
        </w:tc>
        <w:tc>
          <w:tcPr>
            <w:tcW w:w="5940" w:type="dxa"/>
            <w:vAlign w:val="center"/>
          </w:tcPr>
          <w:p>
            <w:pPr/>
            <w:r>
              <w:t xml:space="preserve">新增鸿蒙-腾讯媒体，支持回推</w:t>
            </w:r>
          </w:p>
        </w:tc>
        <w:tc>
          <w:tcPr>
            <w:tcW w:w="1140" w:type="dxa"/>
          </w:tcPr>
          <w:p>
            <w:pPr/>
            <w:r>
              <w:t xml:space="preserve">P0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07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融合归因管理</w:t>
            </w:r>
          </w:p>
        </w:tc>
        <w:tc>
          <w:tcPr>
            <w:tcW w:w="5940" w:type="dxa"/>
            <w:vAlign w:val="center"/>
          </w:tcPr>
          <w:p>
            <w:pPr/>
            <w:r>
              <w:t xml:space="preserve">新增鸿蒙-腾讯媒体，支持策略回推</w:t>
            </w:r>
          </w:p>
        </w:tc>
        <w:tc>
          <w:tcPr>
            <w:tcW w:w="1140" w:type="dxa"/>
          </w:tcPr>
          <w:p>
            <w:pPr/>
            <w:r>
              <w:t xml:space="preserve">P0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1155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回推</w:t>
            </w:r>
          </w:p>
        </w:tc>
        <w:tc>
          <w:tcPr>
            <w:tcW w:w="207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无</w:t>
            </w:r>
          </w:p>
        </w:tc>
        <w:tc>
          <w:tcPr>
            <w:tcW w:w="5940" w:type="dxa"/>
          </w:tcPr>
          <w:p>
            <w:pPr/>
            <w:r>
              <w:t xml:space="preserve">支持策略版腾讯融合归因，对接游戏</w:t>
            </w:r>
          </w:p>
        </w:tc>
        <w:tc>
          <w:tcPr>
            <w:tcW w:w="1140" w:type="dxa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207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无</w:t>
            </w:r>
          </w:p>
        </w:tc>
        <w:tc>
          <w:tcPr>
            <w:tcW w:w="5940" w:type="dxa"/>
          </w:tcPr>
          <w:p>
            <w:pPr/>
            <w:r>
              <w:t xml:space="preserve">支持策略版腾讯融合归因，对接GSSDK</w:t>
            </w:r>
          </w:p>
        </w:tc>
        <w:tc>
          <w:tcPr>
            <w:tcW w:w="1140" w:type="dxa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207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无</w:t>
            </w:r>
          </w:p>
        </w:tc>
        <w:tc>
          <w:tcPr>
            <w:tcW w:w="5940" w:type="dxa"/>
            <w:vAlign w:val="center"/>
          </w:tcPr>
          <w:p>
            <w:pPr/>
            <w:r>
              <w:t xml:space="preserve">支持全量版腾讯融合归因，对接GSSDK</w:t>
            </w:r>
          </w:p>
        </w:tc>
        <w:tc>
          <w:tcPr>
            <w:tcW w:w="1140" w:type="dxa"/>
            <w:vAlign w:val="center"/>
          </w:tcPr>
          <w:p>
            <w:pPr/>
            <w:r>
              <w:t xml:space="preserve">P2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1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查询工具</w:t>
            </w:r>
          </w:p>
        </w:tc>
        <w:tc>
          <w:tcPr>
            <w:tcW w:w="2070" w:type="dxa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用户细查/回推细查</w:t>
            </w:r>
          </w:p>
        </w:tc>
        <w:tc>
          <w:tcPr>
            <w:tcW w:w="5940" w:type="dxa"/>
          </w:tcPr>
          <w:p>
            <w:pPr>
              <w:ind/>
            </w:pPr>
            <w:r>
              <w:t xml:space="preserve">H5的device_id展示原始值</w:t>
            </w:r>
          </w:p>
        </w:tc>
        <w:tc>
          <w:tcPr>
            <w:tcW w:w="1140" w:type="dxa"/>
          </w:tcPr>
          <w:p>
            <w:pPr/>
            <w:r>
              <w:t xml:space="preserve">P2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1、需求/功能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131"/>
        <w:gridCol w:w="2970"/>
        <w:gridCol w:w="4158"/>
        <w:gridCol w:w="2959"/>
      </w:tblGrid>
      <w:tr>
        <w:trPr>
          <w:trHeight w:val="0"/>
        </w:trPr>
        <w:tc>
          <w:tcPr>
            <w:tcW w:w="1131" w:type="dxa"/>
            <w:vAlign w:val="center"/>
          </w:tcPr>
          <w:p>
            <w:pPr/>
            <w:r>
              <w:t xml:space="preserve">模块</w:t>
            </w:r>
          </w:p>
        </w:tc>
        <w:tc>
          <w:tcPr>
            <w:tcW w:w="2970" w:type="dxa"/>
            <w:vAlign w:val="center"/>
          </w:tcPr>
          <w:p>
            <w:pPr/>
            <w:r>
              <w:t xml:space="preserve">功能</w:t>
            </w:r>
          </w:p>
        </w:tc>
        <w:tc>
          <w:tcPr>
            <w:tcW w:w="4158" w:type="dxa"/>
            <w:vAlign w:val="center"/>
          </w:tcPr>
          <w:p>
            <w:pPr/>
            <w:r>
              <w:t xml:space="preserve">开发说明</w:t>
            </w:r>
          </w:p>
        </w:tc>
        <w:tc>
          <w:tcPr>
            <w:tcW w:w="2959" w:type="dxa"/>
            <w:vAlign w:val="center"/>
          </w:tcPr>
          <w:p>
            <w:pPr/>
            <w:r>
              <w:t xml:space="preserve">页面</w:t>
            </w:r>
          </w:p>
        </w:tc>
      </w:tr>
      <w:tr>
        <w:trPr>
          <w:trHeight w:val="960"/>
        </w:trPr>
        <w:tc>
          <w:tcPr>
            <w:tcW w:w="1131" w:type="dxa"/>
            <w:vAlign w:val="center"/>
          </w:tcPr>
          <w:p>
            <w:pPr/>
            <w:r>
              <w:t xml:space="preserve">推广</w:t>
            </w:r>
          </w:p>
        </w:tc>
        <w:tc>
          <w:tcPr>
            <w:tcW w:w="2970" w:type="dxa"/>
            <w:vAlign w:val="center"/>
          </w:tcPr>
          <w:p>
            <w:pPr/>
            <w:r>
              <w:t xml:space="preserve">新增鸿蒙-巨量广告</w:t>
            </w:r>
          </w:p>
        </w:tc>
        <w:tc>
          <w:tcPr>
            <w:tcW w:w="4158" w:type="dxa"/>
            <w:vAlign w:val="center"/>
          </w:tcPr>
          <w:p>
            <w:pPr/>
            <w:r>
              <w:t xml:space="preserve">1.新增鸿蒙-腾讯广告</w:t>
            </w:r>
          </w:p>
          <w:p>
            <w:pPr>
              <w:ind/>
            </w:pPr>
            <w:r>
              <w:t xml:space="preserve">2.支持编辑归因有效期，默认七天</w:t>
            </w:r>
          </w:p>
        </w:tc>
        <w:tc>
          <w:tcPr>
            <w:tcW w:w="2959" w:type="dxa"/>
            <w:vAlign w:val="center"/>
          </w:tcPr>
          <w:p>
            <w:pPr/>
            <w:r/>
            <w:r>
              <w:drawing>
                <wp:inline distT="0" distB="0" distL="0" distR="0">
                  <wp:extent cx="1714500" cy="958845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1714500" cy="95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131" w:type="dxa"/>
            <w:vAlign w:val="center"/>
          </w:tcPr>
          <w:p>
            <w:pPr/>
            <w:r>
              <w:t xml:space="preserve">推广</w:t>
            </w:r>
          </w:p>
        </w:tc>
        <w:tc>
          <w:tcPr>
            <w:tcW w:w="2970" w:type="dxa"/>
            <w:vAlign w:val="center"/>
          </w:tcPr>
          <w:p>
            <w:pPr/>
            <w:r>
              <w:t xml:space="preserve">支持创建鸿蒙-腾讯的监测活动</w:t>
            </w:r>
          </w:p>
        </w:tc>
        <w:tc>
          <w:tcPr>
            <w:tcW w:w="4158" w:type="dxa"/>
            <w:vAlign w:val="center"/>
          </w:tcPr>
          <w:p>
            <w:pPr/>
            <w:r>
              <w:t xml:space="preserve">1.鸿蒙支持媒体新增巨量广告</w:t>
            </w:r>
          </w:p>
          <w:p>
            <w:pPr>
              <w:ind/>
            </w:pPr>
            <w:r>
              <w:t xml:space="preserve">2.生成监测链接</w:t>
            </w:r>
          </w:p>
        </w:tc>
        <w:tc>
          <w:tcPr>
            <w:tcW w:w="2959" w:type="dxa"/>
            <w:vAlign w:val="center"/>
          </w:tcPr>
          <w:p>
            <w:pPr/>
            <w:r/>
            <w:r>
              <w:drawing>
                <wp:inline distT="0" distB="0" distL="0" distR="0">
                  <wp:extent cx="1714500" cy="936956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1714500" cy="936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131" w:type="dxa"/>
            <w:vAlign w:val="center"/>
          </w:tcPr>
          <w:p>
            <w:pPr/>
            <w:r>
              <w:t xml:space="preserve">推广</w:t>
            </w:r>
          </w:p>
        </w:tc>
        <w:tc>
          <w:tcPr>
            <w:tcW w:w="2970" w:type="dxa"/>
            <w:vAlign w:val="center"/>
          </w:tcPr>
          <w:p>
            <w:pPr/>
            <w:r>
              <w:t xml:space="preserve">新增鸿蒙-腾讯媒体，支持回推</w:t>
            </w:r>
          </w:p>
        </w:tc>
        <w:tc>
          <w:tcPr>
            <w:tcW w:w="4158" w:type="dxa"/>
            <w:vAlign w:val="center"/>
          </w:tcPr>
          <w:p>
            <w:pPr/>
            <w:r>
              <w:t xml:space="preserve">1.新增鸿蒙-腾讯广告</w:t>
            </w:r>
          </w:p>
          <w:p>
            <w:pPr>
              <w:ind/>
            </w:pPr>
            <w:r>
              <w:t xml:space="preserve">2.支持回推事件：激活、注册、付费、关键行为、次留</w:t>
            </w:r>
          </w:p>
          <w:p>
            <w:pPr>
              <w:ind/>
            </w:pPr>
            <w:r>
              <w:t xml:space="preserve">3.回推统计：兼容鸿蒙腾讯回推数据，逻辑复用</w:t>
            </w:r>
          </w:p>
        </w:tc>
        <w:tc>
          <w:tcPr>
            <w:tcW w:w="2959" w:type="dxa"/>
            <w:vAlign w:val="center"/>
          </w:tcPr>
          <w:p>
            <w:pPr/>
            <w:r/>
            <w:r>
              <w:drawing>
                <wp:inline distT="0" distB="0" distL="0" distR="0">
                  <wp:extent cx="1714500" cy="1476077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1714500" cy="1476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1131" w:type="dxa"/>
          </w:tcPr>
          <w:p>
            <w:pPr/>
            <w:r>
              <w:t xml:space="preserve">推广</w:t>
            </w:r>
          </w:p>
        </w:tc>
        <w:tc>
          <w:tcPr>
            <w:tcW w:w="2970" w:type="dxa"/>
          </w:tcPr>
          <w:p>
            <w:pPr/>
            <w:r>
              <w:t xml:space="preserve">新增鸿蒙-腾讯媒体，支持策略回推</w:t>
            </w:r>
          </w:p>
        </w:tc>
        <w:tc>
          <w:tcPr>
            <w:tcW w:w="4158" w:type="dxa"/>
          </w:tcPr>
          <w:p>
            <w:pPr/>
            <w:r>
              <w:t xml:space="preserve">1.新增鸿蒙-腾讯广告</w:t>
            </w:r>
          </w:p>
          <w:p>
            <w:pPr>
              <w:ind/>
            </w:pPr>
            <w:r>
              <w:t xml:space="preserve">2.支持融合归因回推规则设置</w:t>
            </w:r>
          </w:p>
        </w:tc>
        <w:tc>
          <w:tcPr>
            <w:tcW w:w="2959" w:type="dxa"/>
          </w:tcPr>
          <w:p>
            <w:pPr/>
            <w:r/>
            <w:r>
              <w:drawing>
                <wp:inline distT="0" distB="0" distL="0" distR="0">
                  <wp:extent cx="1714500" cy="964406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1714500" cy="96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131" w:type="dxa"/>
          </w:tcPr>
          <w:p>
            <w:pPr/>
            <w:r>
              <w:t xml:space="preserve">回推</w:t>
            </w:r>
          </w:p>
        </w:tc>
        <w:tc>
          <w:tcPr>
            <w:tcW w:w="2970" w:type="dxa"/>
          </w:tcPr>
          <w:p>
            <w:pPr/>
            <w:r>
              <w:t xml:space="preserve">支持策略版腾讯融合归因，对接游戏</w:t>
            </w:r>
          </w:p>
        </w:tc>
        <w:tc>
          <w:tcPr>
            <w:tcW w:w="4158" w:type="dxa"/>
            <w:vMerge w:val="restart"/>
          </w:tcPr>
          <w:p>
            <w:pPr/>
            <w:r>
              <w:t xml:space="preserve">策略融合归因方案：</w:t>
            </w:r>
            <w:hyperlink r:id="rId10">
              <w:r>
                <w:rPr>
                  <w:rStyle w:val="hyperlink"/>
                </w:rPr>
                <w:t xml:space="preserve">《策略融合归因-归因修改方案》</w:t>
              </w:r>
            </w:hyperlink>
            <w:r/>
          </w:p>
        </w:tc>
        <w:tc>
          <w:tcPr>
            <w:tcW w:w="2959" w:type="dxa"/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1131" w:type="dxa"/>
          </w:tcPr>
          <w:p>
            <w:pPr/>
            <w:r>
              <w:t xml:space="preserve">回推</w:t>
            </w:r>
          </w:p>
        </w:tc>
        <w:tc>
          <w:tcPr>
            <w:tcW w:w="2970" w:type="dxa"/>
          </w:tcPr>
          <w:p>
            <w:pPr/>
            <w:r>
              <w:t xml:space="preserve">支持策略版腾讯融合归因，对接GSSDK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2959" w:type="dxa"/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1131" w:type="dxa"/>
          </w:tcPr>
          <w:p>
            <w:pPr/>
            <w:r>
              <w:t xml:space="preserve">归因</w:t>
            </w:r>
          </w:p>
        </w:tc>
        <w:tc>
          <w:tcPr>
            <w:tcW w:w="2970" w:type="dxa"/>
          </w:tcPr>
          <w:p>
            <w:pPr/>
            <w:r>
              <w:t xml:space="preserve">支持全量版腾讯融合归因，对接GSSDK</w:t>
            </w:r>
          </w:p>
        </w:tc>
        <w:tc>
          <w:tcPr>
            <w:tcW w:w="4158" w:type="dxa"/>
          </w:tcPr>
          <w:p>
            <w:pPr>
              <w:ind/>
            </w:pPr>
            <w:r>
              <w:t xml:space="preserve">1.全量版融合归因新增腾讯广告媒体</w:t>
            </w:r>
          </w:p>
          <w:p>
            <w:pPr>
              <w:ind/>
            </w:pPr>
            <w:r>
              <w:t xml:space="preserve">2.用户细查展示腾讯融合归因结果</w:t>
            </w:r>
          </w:p>
        </w:tc>
        <w:tc>
          <w:tcPr>
            <w:tcW w:w="2959" w:type="dxa"/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1131" w:type="dxa"/>
          </w:tcPr>
          <w:p>
            <w:pPr/>
            <w:r>
              <w:t xml:space="preserve">查询工具</w:t>
            </w:r>
          </w:p>
        </w:tc>
        <w:tc>
          <w:tcPr>
            <w:tcW w:w="2970" w:type="dxa"/>
          </w:tcPr>
          <w:p>
            <w:pPr/>
            <w:r>
              <w:t xml:space="preserve">H5的device_id展示原始值</w:t>
            </w:r>
          </w:p>
        </w:tc>
        <w:tc>
          <w:tcPr>
            <w:tcW w:w="4158" w:type="dxa"/>
          </w:tcPr>
          <w:p>
            <w:pPr>
              <w:numPr>
                <w:ilvl w:val="0"/>
                <w:numId w:val="1"/>
              </w:numPr>
            </w:pPr>
            <w:r>
              <w:t xml:space="preserve">激活/启动/注册/登录中的deviceid展示为原始值，事件上报的原始值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付费/有效事件中支持搜索deviceid，搜索的是事件本身的deviceid</w:t>
            </w:r>
          </w:p>
        </w:tc>
        <w:tc>
          <w:tcPr>
            <w:tcW w:w="2959" w:type="dxa"/>
          </w:tcPr>
          <w:p>
            <w:pPr/>
            <w:r>
              <w:t xml:space="preserve">无调整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前端影响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后端影响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数据库影响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测试重点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七、</w:t>
      </w:r>
      <w:r>
        <w:rPr>
          <w:sz w:val="40"/>
          <w:b w:val="1"/>
        </w:rPr>
        <w:t xml:space="preserve">附录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1. 原型地址</w:t>
      </w:r>
    </w:p>
    <w:p>
      <w:pPr/>
      <w:r>
        <w:rPr>
          <w:sz w:val="24"/>
        </w:rPr>
      </w:r>
      <w:hyperlink r:id="rId11">
        <w:r>
          <w:rPr>
            <w:sz w:val="24"/>
            <w:rStyle w:val="hyperlink"/>
          </w:rPr>
          <w:t xml:space="preserve">https://pixso.cn/app/design/h_aMF5qZI9gctpA99JbNfw?icon_type=1&amp;page-id=2%3A3449</w:t>
        </w:r>
      </w:hyperlink>
      <w:r>
        <w:rPr>
          <w:sz w:val="24"/>
        </w:rPr>
        <w:t xml:space="preserve"> 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2.相关文档</w:t>
      </w:r>
    </w:p>
    <w:p>
      <w:pPr/>
      <w:r>
        <w:rPr>
          <w:sz w:val="22"/>
          <w:color w:val="04B0F1"/>
        </w:rPr>
        <w:t xml:space="preserve">腾讯鸿蒙对接文档：</w:t>
      </w:r>
      <w:hyperlink r:id="rId12">
        <w:r>
          <w:rPr>
            <w:rStyle w:val="hyperlink"/>
          </w:rPr>
          <w:t xml:space="preserve">https://doc.weixin.qq.com/doc/w3_AdoAfwaBAAor008wstUQE2nQD2wBS?scode=AJEAIQdfAAoxOXWWAiAeAA6AZOAFg</w:t>
        </w:r>
      </w:hyperlink>
      <w:r>
        <w:rPr>
          <w:sz w:val="22"/>
          <w:color w:val="04B0F1"/>
        </w:rPr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3.会议纪要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会议时间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会议性质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参会人员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会议结论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会后待办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年月日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rPr>
                <w:sz w:val="20"/>
              </w:rPr>
              <w:t xml:space="preserve">规划同步&amp;可行性调研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结论 1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结论 2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结论 3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待办 1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待办 2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0"/>
                <w:color w:val="04B0F1"/>
              </w:rPr>
              <w:t xml:space="preserve">待办 3</w:t>
            </w:r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技术方案评估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首次评审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二次评审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三次评审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4.术语解释</w:t>
      </w:r>
    </w:p>
    <w:tbl>
      <w:tblPr>
        <w:tblStyle w:val="TableGrid"/>
        <w:tblW w:w="0" w:type="auto"/>
      </w:tblPr>
      <w:tblGrid>
        <w:gridCol w:w="975"/>
        <w:gridCol w:w="3450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名词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解释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5.模板更新记录</w:t>
      </w:r>
    </w:p>
    <w:tbl>
      <w:tblPr>
        <w:tblStyle w:val="TableGrid"/>
        <w:tblW w:w="0" w:type="auto"/>
      </w:tblPr>
      <w:tblGrid>
        <w:gridCol w:w="975"/>
        <w:gridCol w:w="3450"/>
        <w:gridCol w:w="1440"/>
        <w:gridCol w:w="1050"/>
        <w:gridCol w:w="289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版本号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修订内容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修订时间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状态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103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.weixin.qq.com/doc/w3_AdoAfwaBAAor008wstUQE2nQD2wBS?scode=AJEAIQdfAAoxOXWWAiAeAA6AZOAFg" TargetMode="External" />
  <Relationship Id="rId5" Type="http://schemas.openxmlformats.org/officeDocument/2006/relationships/hyperlink" Target="https://docs.xiaoshanim.com/i/nodes/7gNKMlbrq3WXAZBxxWrI4mv5p6Ad9nL1# &#12300;&#31574;&#30053;&#34701;&#21512;&#24402;&#22240;-&#24402;&#22240;&#20462;&#25913;&#26041;&#26696;&#12301;" TargetMode="External" />
  <Relationship Id="rId6" Type="http://schemas.openxmlformats.org/officeDocument/2006/relationships/image" Target="media/image1.png" />
  <Relationship Id="rId7" Type="http://schemas.openxmlformats.org/officeDocument/2006/relationships/image" Target="media/image2.png" />
  <Relationship Id="rId8" Type="http://schemas.openxmlformats.org/officeDocument/2006/relationships/image" Target="media/image3.png" />
  <Relationship Id="rId9" Type="http://schemas.openxmlformats.org/officeDocument/2006/relationships/image" Target="media/image4.png" />
  <Relationship Id="rId10" Type="http://schemas.openxmlformats.org/officeDocument/2006/relationships/hyperlink" Target="https://docs.xiaoshanim.com/i/nodes/7gNKMlbrq3WXAZBxxWrI4mv5p6Ad9nL1#" TargetMode="External" />
  <Relationship Id="rId11" Type="http://schemas.openxmlformats.org/officeDocument/2006/relationships/hyperlink" Target="https://pixso.cn/app/design/h_aMF5qZI9gctpA99JbNfw?icon_type=1&amp;page-id=2%3A3449" TargetMode="External" />
  <Relationship Id="rId12" Type="http://schemas.openxmlformats.org/officeDocument/2006/relationships/hyperlink" Target="https://doc.weixin.qq.com/doc/w3_AdoAfwaBAAor008wstUQE2nQD2wBS?scode=AJEAIQdfAAoxOXWWAiAeAA6AZOAFg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