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v3.14.12-财务数据API-账户日流水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4260"/>
        <w:gridCol w:w="2520"/>
        <w:gridCol w:w="960"/>
        <w:gridCol w:w="1245"/>
        <w:gridCol w:w="1125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产品版本号</w:t>
            </w:r>
          </w:p>
        </w:tc>
        <w:tc>
          <w:tcPr>
            <w:tcW w:w="42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修订时间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修订人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评审状态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FA726"/>
          </w:tcPr>
          <w:p>
            <w:pPr/>
            <w:r>
              <w:t xml:space="preserve">v3.14.12.2</w:t>
            </w:r>
          </w:p>
        </w:tc>
        <w:tc>
          <w:tcPr>
            <w:tcW w:w="426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FA726"/>
          </w:tcPr>
          <w:p>
            <w:pPr>
              <w:numPr>
                <w:ilvl w:val="0"/>
                <w:numId w:val="1"/>
              </w:numPr>
            </w:pPr>
            <w:r>
              <w:t xml:space="preserve">只取有消耗的账号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每天早上9点取数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有消耗是全部的有效数据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接口日流水接口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拉数据近30天日流水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只更新7天数据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</w:rPr>
              <w:t xml:space="preserve">消耗有值且&gt;0才返回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FA726"/>
          </w:tcPr>
          <w:p>
            <w:pPr/>
            <w:r>
              <w:rPr>
                <w:sz w:val="20"/>
                <w:color w:val="000000"/>
              </w:rPr>
              <w:t xml:space="preserve">2026-3-16</w:t>
            </w:r>
          </w:p>
        </w:tc>
        <w:tc>
          <w:tcPr>
            <w:tcW w:w="96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FA726"/>
          </w:tcPr>
          <w:p>
            <w:pPr/>
            <w:r>
              <w:rPr>
                <w:sz w:val="20"/>
              </w:rPr>
              <w:t xml:space="preserve">徐韵</w:t>
            </w:r>
          </w:p>
        </w:tc>
        <w:tc>
          <w:tcPr>
            <w:tcW w:w="124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FA726"/>
          </w:tcPr>
          <w:p>
            <w:pPr/>
            <w:r>
              <w:t xml:space="preserve">已评审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FA726"/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v3.14.12.1</w:t>
            </w:r>
          </w:p>
        </w:tc>
        <w:tc>
          <w:tcPr>
            <w:tcW w:w="426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t xml:space="preserve">返回json 格式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按媒体返回 2 级 json 结构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不活跃账户和无消耗账户都需要采集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2026-3-10</w:t>
            </w:r>
          </w:p>
        </w:tc>
        <w:tc>
          <w:tcPr>
            <w:tcW w:w="96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徐韵</w:t>
            </w:r>
          </w:p>
        </w:tc>
        <w:tc>
          <w:tcPr>
            <w:tcW w:w="12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v3.14.12</w:t>
            </w:r>
          </w:p>
        </w:tc>
        <w:tc>
          <w:tcPr>
            <w:tcW w:w="42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2026-3-6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徐韵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A4A5A5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采集范围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全部账户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有消耗的账户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不考虑未授权和不活跃账户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采集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相关问题由业务侧解决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徐韵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2026-3-16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采集频率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 分钟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T+1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不考虑订正7 天前的数据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采集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相关问题由业务侧解决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徐韵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2026-3-16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/>
            <w:r>
              <w:rPr>
                <w:sz w:val="20"/>
              </w:rPr>
              <w:t xml:space="preserve">财务的广告付款流程从垫付改为预付，需要根据账户余额补款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rPr>
                <w:sz w:val="20"/>
              </w:rPr>
              <w:t xml:space="preserve">提供各项目各代理各团队的巨量广告账户的每日余额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rPr>
                <w:sz w:val="20"/>
              </w:rPr>
              <w:t xml:space="preserve">取日流水接口，提供全部字段，拼接账户表属性，查询服务方式不变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>
              <w:rPr>
                <w:sz w:val="20"/>
              </w:rPr>
              <w:t xml:space="preserve">预付可以增加代理返点，可直接提高广告ROI；财务侧自行解决核对问题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795"/>
        <w:gridCol w:w="2745"/>
        <w:gridCol w:w="3240"/>
        <w:gridCol w:w="1290"/>
        <w:gridCol w:w="1875"/>
      </w:tblGrid>
      <w:tr>
        <w:trPr>
          <w:trHeight w:val="675"/>
        </w:trPr>
        <w:tc>
          <w:tcPr>
            <w:tcW w:w="79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序号</w:t>
            </w:r>
          </w:p>
        </w:tc>
        <w:tc>
          <w:tcPr>
            <w:tcW w:w="274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产品/业务目标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价值收益</w:t>
            </w:r>
          </w:p>
        </w:tc>
        <w:tc>
          <w:tcPr>
            <w:tcW w:w="12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衡量标准</w:t>
            </w:r>
          </w:p>
        </w:tc>
        <w:tc>
          <w:tcPr>
            <w:tcW w:w="18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7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 月版本数据交付给财务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增加代理返点，提高巨量 ROI</w:t>
            </w:r>
          </w:p>
        </w:tc>
        <w:tc>
          <w:tcPr>
            <w:tcW w:w="12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及时交付</w:t>
            </w:r>
          </w:p>
          <w:p>
            <w:pPr/>
            <w:r>
              <w:rPr>
                <w:sz w:val="20"/>
              </w:rPr>
              <w:t xml:space="preserve">数据准确</w:t>
            </w:r>
          </w:p>
          <w:p>
            <w:pPr/>
            <w:r>
              <w:rPr>
                <w:sz w:val="20"/>
              </w:rPr>
              <w:t xml:space="preserve">服务稳定</w:t>
            </w:r>
          </w:p>
        </w:tc>
        <w:tc>
          <w:tcPr>
            <w:tcW w:w="18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74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8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240"/>
        <w:gridCol w:w="360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模块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A4A5A5"/>
                <w:shd w:val="clear" w:color="auto" w:fill="F0F4FF"/>
              </w:rPr>
              <w:t xml:space="preserve">需求</w:t>
            </w:r>
          </w:p>
        </w:tc>
        <w:tc>
          <w:tcPr>
            <w:tcW w:w="36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A4A5A5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相关开发</w:t>
            </w:r>
          </w:p>
        </w:tc>
      </w:tr>
      <w:tr>
        <w:trPr>
          <w:trHeight w:val="78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FE0300"/>
                <w:b w:val="1"/>
              </w:rP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财务数据API-账户日流水</w:t>
            </w:r>
          </w:p>
        </w:tc>
        <w:tc>
          <w:tcPr>
            <w:tcW w:w="36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采集解析+拼表+数据 api 服务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采集、服务端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695"/>
        <w:gridCol w:w="5385"/>
        <w:gridCol w:w="945"/>
        <w:gridCol w:w="2190"/>
      </w:tblGrid>
      <w:tr>
        <w:trPr>
          <w:trHeight w:val="60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序号</w:t>
            </w:r>
          </w:p>
        </w:tc>
        <w:tc>
          <w:tcPr>
            <w:tcW w:w="16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模块</w:t>
            </w:r>
          </w:p>
        </w:tc>
        <w:tc>
          <w:tcPr>
            <w:tcW w:w="538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功能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优先级</w:t>
            </w:r>
          </w:p>
        </w:tc>
        <w:tc>
          <w:tcPr>
            <w:tcW w:w="219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接口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69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采集</w:t>
            </w:r>
          </w:p>
        </w:tc>
        <w:tc>
          <w:tcPr>
            <w:tcW w:w="538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FE0300"/>
              </w:rPr>
              <w:t xml:space="preserve">T</w:t>
            </w:r>
            <w:r>
              <w:rPr>
                <w:sz w:val="18"/>
                <w:color w:val="FE0300"/>
              </w:rPr>
              <w:t xml:space="preserve">+1</w:t>
            </w:r>
            <w:r>
              <w:rPr>
                <w:sz w:val="20"/>
                <w:color w:val="FE0300"/>
              </w:rPr>
              <w:t xml:space="preserve"> </w:t>
            </w:r>
            <w:r>
              <w:rPr>
                <w:sz w:val="20"/>
              </w:rPr>
              <w:t xml:space="preserve">采集</w:t>
            </w:r>
            <w:r>
              <w:rPr>
                <w:sz w:val="20"/>
                <w:color w:val="FCC102"/>
              </w:rPr>
              <w:t xml:space="preserve">近 7 日</w:t>
            </w:r>
            <w:r>
              <w:rPr>
                <w:sz w:val="20"/>
                <w:color w:val="FE0300"/>
              </w:rPr>
              <w:t xml:space="preserve">有消耗的巨量账户</w:t>
            </w:r>
            <w:r>
              <w:rPr>
                <w:sz w:val="20"/>
              </w:rPr>
              <w:t xml:space="preserve">的日流水接口全部数据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P0</w:t>
            </w:r>
          </w:p>
        </w:tc>
        <w:tc>
          <w:tcPr>
            <w:tcW w:w="21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</w:r>
            <w:hyperlink r:id="rId4">
              <w:r>
                <w:rPr>
                  <w:sz w:val="20"/>
                  <w:rStyle w:val="hyperlink"/>
                </w:rPr>
                <w:t xml:space="preserve">查询账户日流水</w:t>
              </w:r>
            </w:hyperlink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538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color w:val="FE0300"/>
              </w:rPr>
              <w:t xml:space="preserve">修订近7日</w:t>
            </w:r>
            <w:r>
              <w:t xml:space="preserve">数据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P2</w:t>
            </w:r>
          </w:p>
        </w:tc>
        <w:tc>
          <w:tcPr>
            <w:tcW w:w="219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69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数据共享</w:t>
            </w:r>
          </w:p>
        </w:tc>
        <w:tc>
          <w:tcPr>
            <w:tcW w:w="538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整合账户表的配置属性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21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538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每天 9 点更新接口数据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219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w="538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合并至财务消耗数据接口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21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需求 1、</w:t>
      </w:r>
      <w:r>
        <w:rPr>
          <w:sz w:val="28"/>
        </w:rPr>
        <w:t xml:space="preserve">财务数据API-账户日流水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840"/>
        <w:gridCol w:w="2325"/>
        <w:gridCol w:w="7485"/>
        <w:gridCol w:w="1200"/>
      </w:tblGrid>
      <w:tr>
        <w:trPr>
          <w:trHeight w:val="0"/>
        </w:trPr>
        <w:tc>
          <w:tcPr>
            <w:tcW w:w="840" w:type="dxa"/>
            <w:vAlign w:val="center"/>
          </w:tcPr>
          <w:p>
            <w:pPr/>
            <w:r>
              <w:rPr>
                <w:sz w:val="20"/>
                <w:color w:val="A4A5A5"/>
              </w:rPr>
              <w:t xml:space="preserve">模块</w:t>
            </w:r>
          </w:p>
        </w:tc>
        <w:tc>
          <w:tcPr>
            <w:tcW w:w="2325" w:type="dxa"/>
            <w:vAlign w:val="center"/>
          </w:tcPr>
          <w:p>
            <w:pPr/>
            <w:r>
              <w:rPr>
                <w:sz w:val="20"/>
                <w:color w:val="A4A5A5"/>
              </w:rPr>
              <w:t xml:space="preserve">功能</w:t>
            </w:r>
          </w:p>
        </w:tc>
        <w:tc>
          <w:tcPr>
            <w:tcW w:w="7485" w:type="dxa"/>
            <w:vAlign w:val="center"/>
          </w:tcPr>
          <w:p>
            <w:pPr/>
            <w:r>
              <w:rPr>
                <w:sz w:val="20"/>
                <w:color w:val="A4A5A5"/>
              </w:rPr>
              <w:t xml:space="preserve">开发说明</w:t>
            </w:r>
          </w:p>
        </w:tc>
        <w:tc>
          <w:tcPr>
            <w:tcW w:w="1200" w:type="dxa"/>
            <w:vAlign w:val="center"/>
          </w:tcPr>
          <w:p>
            <w:pPr/>
            <w:r>
              <w:rPr>
                <w:sz w:val="20"/>
                <w:color w:val="A4A5A5"/>
              </w:rPr>
              <w:t xml:space="preserve">页面</w:t>
            </w:r>
          </w:p>
        </w:tc>
      </w:tr>
      <w:tr>
        <w:trPr>
          <w:trHeight w:val="960"/>
        </w:trPr>
        <w:tc>
          <w:tcPr>
            <w:tcW w:w="840" w:type="dxa"/>
            <w:vAlign w:val="center"/>
          </w:tcPr>
          <w:p>
            <w:pPr/>
            <w:r>
              <w:rPr>
                <w:sz w:val="20"/>
              </w:rPr>
              <w:t xml:space="preserve">采集</w:t>
            </w:r>
          </w:p>
        </w:tc>
        <w:tc>
          <w:tcPr>
            <w:tcW w:w="23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采集接口的全部字段</w:t>
            </w:r>
          </w:p>
        </w:tc>
        <w:tc>
          <w:tcPr>
            <w:tcW w:w="7485" w:type="dxa"/>
            <w:vAlign w:val="center"/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采集媒体</w:t>
            </w:r>
            <w:r>
              <w:rPr>
                <w:sz w:val="20"/>
              </w:rPr>
              <w:t xml:space="preserve">：巨量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账户范围</w:t>
            </w:r>
            <w:r>
              <w:rPr>
                <w:sz w:val="20"/>
              </w:rPr>
              <w:t xml:space="preserve">：仅限有消耗的巨量账户，不考虑未授权和不活跃账户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采集接口</w:t>
            </w:r>
            <w:r>
              <w:rPr>
                <w:sz w:val="20"/>
              </w:rPr>
              <w:t xml:space="preserve">：用账户日流水接口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采集字段</w:t>
            </w:r>
            <w:r>
              <w:rPr>
                <w:sz w:val="20"/>
              </w:rPr>
              <w:t xml:space="preserve">：采集全部字段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采集更新</w:t>
            </w:r>
            <w:r>
              <w:rPr>
                <w:sz w:val="20"/>
              </w:rPr>
              <w:t xml:space="preserve">：每日 9 点更新近 7 天日流水数据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采集范围</w:t>
            </w:r>
            <w:r>
              <w:rPr>
                <w:sz w:val="20"/>
              </w:rPr>
              <w:t xml:space="preserve">：消耗有值且&gt;0的账户</w:t>
            </w:r>
          </w:p>
        </w:tc>
        <w:tc>
          <w:tcPr>
            <w:tcW w:w="1200" w:type="dxa"/>
            <w:vMerge w:val="restart"/>
            <w:vAlign w:val="center"/>
          </w:tcPr>
          <w:p>
            <w:pPr/>
            <w:r>
              <w:rPr>
                <w:sz w:val="2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840" w:type="dxa"/>
            <w:vMerge w:val="restart"/>
            <w:vAlign w:val="center"/>
          </w:tcPr>
          <w:p>
            <w:pPr/>
            <w:r>
              <w:rPr>
                <w:sz w:val="20"/>
              </w:rPr>
              <w:t xml:space="preserve">共享</w:t>
            </w:r>
          </w:p>
        </w:tc>
        <w:tc>
          <w:tcPr>
            <w:tcW w:w="23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整合账户表的配置属性</w:t>
            </w:r>
          </w:p>
        </w:tc>
        <w:tc>
          <w:tcPr>
            <w:tcW w:w="7485" w:type="dxa"/>
            <w:vAlign w:val="center"/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关联属性</w:t>
            </w:r>
            <w:r>
              <w:rPr>
                <w:sz w:val="20"/>
              </w:rPr>
              <w:t xml:space="preserve">：日期\媒体\账户 id\账户\</w:t>
            </w:r>
            <w:r>
              <w:rPr>
                <w:sz w:val="20"/>
                <w:color w:val="FE0300"/>
              </w:rPr>
              <w:t xml:space="preserve">账户授权状态</w:t>
            </w:r>
            <w:r>
              <w:rPr>
                <w:sz w:val="20"/>
              </w:rPr>
              <w:t xml:space="preserve">\ 项目 id\项目\代理商\团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返回格式</w:t>
            </w:r>
            <w:r>
              <w:rPr>
                <w:sz w:val="20"/>
              </w:rPr>
              <w:t xml:space="preserve">：｛全部接口指标｝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特殊字段</w:t>
            </w:r>
            <w:r>
              <w:rPr>
                <w:sz w:val="20"/>
              </w:rPr>
              <w:t xml:space="preserve">：单团队项目时为空，多团队项目展示团队名，未配置展示“”。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tcW w:w="23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定时更新任务</w:t>
            </w:r>
          </w:p>
        </w:tc>
        <w:tc>
          <w:tcPr>
            <w:tcW w:w="7485" w:type="dxa"/>
            <w:vAlign w:val="center"/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接口更新</w:t>
            </w:r>
            <w:r>
              <w:rPr>
                <w:sz w:val="20"/>
              </w:rPr>
              <w:t xml:space="preserve">：每日 9 点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属性更新</w:t>
            </w:r>
            <w:r>
              <w:rPr>
                <w:sz w:val="20"/>
              </w:rPr>
              <w:t xml:space="preserve">：实时状态（全部数据的状态为最新状态）展示账户最新信息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20"/>
              </w:rPr>
            </w:r>
          </w:p>
        </w:tc>
        <w:tc>
          <w:tcPr>
            <w:tcW w:w="23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提供 API 查询</w:t>
            </w:r>
          </w:p>
        </w:tc>
        <w:tc>
          <w:tcPr>
            <w:tcW w:w="7485" w:type="dxa"/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接口：原消耗接口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查询方式</w:t>
            </w:r>
            <w:r>
              <w:rPr>
                <w:sz w:val="20"/>
              </w:rPr>
              <w:t xml:space="preserve">：日期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查询范围</w:t>
            </w:r>
            <w:r>
              <w:rPr>
                <w:sz w:val="20"/>
              </w:rPr>
              <w:t xml:space="preserve">：服务上线日期开始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请求参数</w:t>
            </w:r>
            <w:r>
              <w:rPr>
                <w:sz w:val="20"/>
              </w:rPr>
              <w:t xml:space="preserve">：每次最多只拉取 90天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加密方式</w:t>
            </w:r>
            <w:r>
              <w:rPr>
                <w:sz w:val="20"/>
              </w:rPr>
              <w:t xml:space="preserve">：同魔方，参数签名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返回描述</w:t>
            </w:r>
            <w:r>
              <w:rPr>
                <w:sz w:val="20"/>
              </w:rPr>
              <w:t xml:space="preserve">：消耗有值且&gt;0才返回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b w:val="1"/>
              </w:rPr>
              <w:t xml:space="preserve">返回结构</w:t>
            </w:r>
            <w:r>
              <w:rPr>
                <w:sz w:val="20"/>
              </w:rPr>
              <w:t xml:space="preserve">：</w:t>
            </w:r>
            <w:r>
              <w:t xml:space="preserve">返回json 格式，按媒体返回 2 级 json 结构</w:t>
            </w:r>
          </w:p>
        </w:tc>
        <w:tc>
          <w:tcPr>
            <w:vMerge w:val="continue"/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t xml:space="preserve">无变动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</w:r>
      <w:hyperlink r:id="rId5">
        <w:r>
          <w:rPr>
            <w:rStyle w:val="hyperlink"/>
          </w:rPr>
          <w:t xml:space="preserve">《v3.14.3-插入需求-账户回本明细API》</w:t>
        </w:r>
      </w:hyperlink>
      <w:r>
        <w:rPr>
          <w:sz w:val="22"/>
          <w:color w:val="04B0F1"/>
        </w:rPr>
      </w:r>
    </w:p>
    <w:p>
      <w:pPr/>
      <w:r>
        <w:rPr>
          <w:sz w:val="22"/>
          <w:color w:val="04B0F1"/>
        </w:rPr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1635"/>
        <w:gridCol w:w="2085"/>
        <w:gridCol w:w="3690"/>
        <w:gridCol w:w="1365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会议时间</w:t>
            </w:r>
          </w:p>
        </w:tc>
        <w:tc>
          <w:tcPr>
            <w:tcW w:w="163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会议性质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参会人员</w:t>
            </w:r>
          </w:p>
        </w:tc>
        <w:tc>
          <w:tcPr>
            <w:tcW w:w="36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会议结论</w:t>
            </w:r>
          </w:p>
        </w:tc>
        <w:tc>
          <w:tcPr>
            <w:tcW w:w="136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2026-03-16</w:t>
            </w:r>
          </w:p>
        </w:tc>
        <w:tc>
          <w:tcPr>
            <w:tcW w:w="163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明确需求范围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谢禅媛、朱姝瑞</w:t>
            </w:r>
          </w:p>
        </w:tc>
        <w:tc>
          <w:tcPr>
            <w:tcW w:w="36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仅提数需求</w:t>
            </w:r>
          </w:p>
        </w:tc>
        <w:tc>
          <w:tcPr>
            <w:tcW w:w="136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2026-03-10</w:t>
            </w:r>
          </w:p>
        </w:tc>
        <w:tc>
          <w:tcPr>
            <w:tcW w:w="16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首次评审</w:t>
            </w:r>
          </w:p>
        </w:tc>
        <w:tc>
          <w:tcPr>
            <w:tcW w:w="208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全部开发</w:t>
            </w:r>
          </w:p>
        </w:tc>
        <w:tc>
          <w:tcPr>
            <w:tcW w:w="369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无，但会后反馈是否需要完善需求</w:t>
            </w:r>
          </w:p>
        </w:tc>
        <w:tc>
          <w:tcPr>
            <w:tcW w:w="13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日流水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每日支出，收入，消耗，余额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open.oceanengine.com/labels/7/docs/1696710526682112?origin=left_nav" TargetMode="External" />
  <Relationship Id="rId5" Type="http://schemas.openxmlformats.org/officeDocument/2006/relationships/hyperlink" Target="https://docs.xiaoshanim.com/i/nodes/7gNKMlbrq3WXAM3nRo0f4Xv5p6Ad9nL1?utm_scene=team_space#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