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v3.14.15-PC归因支持自归因</w:t>
      </w:r>
    </w:p>
    <w:p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1425"/>
        <w:gridCol w:w="1590"/>
        <w:gridCol w:w="2430"/>
      </w:tblGrid>
      <w:tr>
        <w:trPr>
          <w:trHeight w:val="58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产品版本号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修订内容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修订时间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修订人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评审状态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</w:rPr>
              <w:t xml:space="preserve">备注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v3.14.15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ind/>
            </w:pPr>
            <w:r>
              <w:t xml:space="preserve">初稿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2026-3-30</w:t>
            </w:r>
          </w:p>
        </w:tc>
        <w:tc>
          <w:tcPr>
            <w:tcW w:w="142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59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243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1065"/>
        <w:gridCol w:w="1365"/>
        <w:gridCol w:w="2085"/>
        <w:gridCol w:w="2865"/>
        <w:gridCol w:w="2775"/>
        <w:gridCol w:w="2460"/>
        <w:gridCol w:w="1950"/>
        <w:gridCol w:w="2145"/>
        <w:gridCol w:w="1485"/>
        <w:gridCol w:w="1485"/>
        <w:gridCol w:w="1500"/>
        <w:gridCol w:w="1410"/>
      </w:tblGrid>
      <w:tr>
        <w:trPr>
          <w:trHeight w:val="525"/>
        </w:trPr>
        <w:tc>
          <w:tcPr>
            <w:tcW w:w="10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3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变更维度</w:t>
            </w:r>
          </w:p>
        </w:tc>
        <w:tc>
          <w:tcPr>
            <w:tcW w:w="20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变更前</w:t>
            </w:r>
          </w:p>
        </w:tc>
        <w:tc>
          <w:tcPr>
            <w:tcW w:w="28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变更后</w:t>
            </w:r>
          </w:p>
        </w:tc>
        <w:tc>
          <w:tcPr>
            <w:tcW w:w="277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功能补充说明 </w:t>
            </w:r>
          </w:p>
        </w:tc>
        <w:tc>
          <w:tcPr>
            <w:tcW w:w="246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UI原型补充截图</w:t>
            </w:r>
          </w:p>
        </w:tc>
        <w:tc>
          <w:tcPr>
            <w:tcW w:w="19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影响范围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b w:val="1"/>
              </w:rPr>
              <w:t xml:space="preserve">变更原因与必要性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修订人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修订日期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评审状态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87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XX 模块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XX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年月日</w:t>
            </w:r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评审中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  <w:tr>
        <w:trPr>
          <w:trHeight w:val="660"/>
        </w:trPr>
        <w:tc>
          <w:tcPr>
            <w:tcW w:w="106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13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0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7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4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9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无</w:t>
            </w:r>
          </w:p>
          <w:p>
            <w:pPr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14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技术方案调整</w:t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</w:r>
          </w:p>
        </w:tc>
        <w:tc>
          <w:tcPr>
            <w:tcW w:w="1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15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已评审</w:t>
            </w:r>
          </w:p>
        </w:tc>
        <w:tc>
          <w:tcPr>
            <w:tcW w:w="141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 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一、背景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590"/>
        <w:gridCol w:w="9315"/>
      </w:tblGrid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业务背景</w:t>
            </w:r>
          </w:p>
        </w:tc>
        <w:tc>
          <w:tcPr>
            <w:tcW w:w="9315" w:type="dxa"/>
            <w:vAlign w:val="center"/>
          </w:tcPr>
          <w:p>
            <w:pPr>
              <w:ind/>
            </w:pPr>
            <w:r>
              <w:t xml:space="preserve">1.百度搜索不支持填写监测链接，不下发广告点击</w:t>
            </w:r>
          </w:p>
          <w:p>
            <w:pPr>
              <w:ind/>
            </w:pPr>
            <w:r>
              <w:t xml:space="preserve">2.pc原有归因方案中，依赖于点击下发，无法支持百度搜索的归因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要解决的问题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M-game/手杀的PC，需要追踪百度搜索的数据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解决方案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不改动激活归因逻辑，根据落地页打开生成广告点击，支持匹配</w:t>
            </w:r>
          </w:p>
        </w:tc>
      </w:tr>
      <w:tr>
        <w:trPr>
          <w:trHeight w:val="0"/>
        </w:trPr>
        <w:tc>
          <w:tcPr>
            <w:tcW w:w="1590" w:type="dxa"/>
            <w:vAlign w:val="center"/>
          </w:tcPr>
          <w:p>
            <w:pPr/>
            <w:r>
              <w:rPr>
                <w:b w:val="1"/>
              </w:rPr>
              <w:t xml:space="preserve">决策依据</w:t>
            </w:r>
          </w:p>
        </w:tc>
        <w:tc>
          <w:tcPr>
            <w:tcW w:w="9315" w:type="dxa"/>
            <w:vAlign w:val="center"/>
          </w:tcPr>
          <w:p>
            <w:pPr/>
            <w:r>
              <w:t xml:space="preserve">☑️百度归因文档 </w:t>
            </w:r>
            <w:hyperlink r:id="rId4">
              <w:r>
                <w:rPr>
                  <w:rStyle w:val="hyperlink"/>
                </w:rPr>
                <w:t xml:space="preserve">文档</w:t>
              </w:r>
            </w:hyperlink>
            <w:r/>
          </w:p>
          <w:p>
            <w:pPr/>
            <w:r>
              <w:t xml:space="preserve">☑️智投pc归因方案  </w:t>
            </w:r>
            <w:hyperlink r:id="rId5">
              <w:r>
                <w:rPr>
                  <w:rStyle w:val="hyperlink"/>
                </w:rPr>
                <w:t xml:space="preserve">文档</w:t>
              </w:r>
            </w:hyperlink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二、版本</w:t>
      </w:r>
      <w:r>
        <w:rPr>
          <w:sz w:val="40"/>
          <w:b w:val="1"/>
        </w:rPr>
        <w:t xml:space="preserve">目标</w:t>
      </w:r>
    </w:p>
    <w:tbl>
      <w:tblPr>
        <w:tblStyle w:val="TableGrid"/>
        <w:tblW w:w="0" w:type="auto"/>
      </w:tblPr>
      <w:tblGrid>
        <w:gridCol w:w="975"/>
        <w:gridCol w:w="3825"/>
        <w:gridCol w:w="4275"/>
        <w:gridCol w:w="3240"/>
        <w:gridCol w:w="313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序号</w:t>
            </w:r>
          </w:p>
        </w:tc>
        <w:tc>
          <w:tcPr>
            <w:tcW w:w="382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产品/业务目标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价值收益</w:t>
            </w:r>
          </w:p>
        </w:tc>
        <w:tc>
          <w:tcPr>
            <w:tcW w:w="32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衡量标准</w:t>
            </w:r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复盘结论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382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pc支持百度搜索的归因</w:t>
            </w:r>
          </w:p>
        </w:tc>
        <w:tc>
          <w:tcPr>
            <w:tcW w:w="427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M-game/手杀投放百度搜索可归因</w:t>
            </w:r>
          </w:p>
        </w:tc>
        <w:tc>
          <w:tcPr>
            <w:tcW w:w="32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313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>
                <w:sz w:val="20"/>
              </w:rPr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三、</w:t>
      </w:r>
      <w:r>
        <w:rPr>
          <w:sz w:val="40"/>
          <w:b w:val="1"/>
        </w:rPr>
        <w:t xml:space="preserve">需求清单</w:t>
      </w:r>
    </w:p>
    <w:tbl>
      <w:tblPr>
        <w:tblStyle w:val="TableGrid"/>
        <w:tblW w:w="0" w:type="auto"/>
      </w:tblPr>
      <w:tblGrid>
        <w:gridCol w:w="1125"/>
        <w:gridCol w:w="1125"/>
        <w:gridCol w:w="3300"/>
        <w:gridCol w:w="5550"/>
        <w:gridCol w:w="1965"/>
      </w:tblGrid>
      <w:tr>
        <w:trPr>
          <w:trHeight w:val="570"/>
        </w:trPr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ind/>
              <w:spacing w:line="240"/>
              <w:jc w:val="center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需求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left"/>
            </w:pPr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描述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top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相关开发</w:t>
            </w:r>
          </w:p>
        </w:tc>
      </w:tr>
      <w:tr>
        <w:trPr>
          <w:trHeight w:val="975"/>
        </w:trPr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ind/>
              <w:spacing w:line="240"/>
              <w:jc w:val="center"/>
            </w:pPr>
            <w:r>
              <w:rPr>
                <w:sz w:val="22"/>
                <w:color w:val="FCC102"/>
                <w:b w:val="1"/>
              </w:rPr>
              <w:t xml:space="preserve">P1</w:t>
            </w:r>
          </w:p>
        </w:tc>
        <w:tc>
          <w:tcPr>
            <w:tcW w:w="112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330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不下发广告点击的媒体可进行激活归因</w:t>
            </w:r>
          </w:p>
        </w:tc>
        <w:tc>
          <w:tcPr>
            <w:tcW w:w="55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1"/>
              </w:numPr>
            </w:pPr>
            <w:r>
              <w:t xml:space="preserve">当落地页打开事件未匹配到广告点击时，自动生成虚拟广告点击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pc激活归因时支持匹配虚拟广告点击</w:t>
            </w:r>
          </w:p>
        </w:tc>
        <w:tc>
          <w:tcPr>
            <w:tcW w:w="196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李振龙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四、</w:t>
      </w:r>
      <w:r>
        <w:rPr>
          <w:sz w:val="40"/>
          <w:b w:val="1"/>
        </w:rPr>
        <w:t xml:space="preserve">功能列表</w:t>
      </w:r>
    </w:p>
    <w:tbl>
      <w:tblPr>
        <w:tblStyle w:val="TableGrid"/>
        <w:tblW w:w="0" w:type="auto"/>
      </w:tblPr>
      <w:tblGrid>
        <w:gridCol w:w="795"/>
        <w:gridCol w:w="1440"/>
        <w:gridCol w:w="3630"/>
        <w:gridCol w:w="945"/>
        <w:gridCol w:w="4485"/>
      </w:tblGrid>
      <w:tr>
        <w:trPr>
          <w:trHeight w:val="60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模块</w:t>
            </w:r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  <w:shd w:val="clear" w:color="auto" w:fill="F0F4FF"/>
              </w:rPr>
              <w:t xml:space="preserve">功能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>
              <w:jc w:val="center"/>
            </w:pPr>
            <w:r>
              <w:rPr>
                <w:sz w:val="20"/>
                <w:b w:val="1"/>
                <w:shd w:val="clear" w:color="auto" w:fill="F0F4FF"/>
              </w:rPr>
              <w:t xml:space="preserve">优先级</w:t>
            </w:r>
          </w:p>
        </w:tc>
        <w:tc>
          <w:tcPr>
            <w:tcW w:w="4485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b w:val="1"/>
              </w:rPr>
              <w:t xml:space="preserve">接口</w:t>
            </w:r>
          </w:p>
        </w:tc>
      </w:tr>
      <w:tr>
        <w:trPr>
          <w:trHeight w:val="705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</w:t>
            </w:r>
          </w:p>
        </w:tc>
        <w:tc>
          <w:tcPr>
            <w:tcW w:w="1440" w:type="dxa"/>
            <w:vMerge w:val="restart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落地页打开归因时，未匹配到广告点击，自动生成虚拟广告点击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P1</w:t>
            </w:r>
          </w:p>
        </w:tc>
        <w:tc>
          <w:tcPr>
            <w:tcW w:w="4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79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center"/>
            </w:pPr>
            <w:r/>
          </w:p>
        </w:tc>
        <w:tc>
          <w:tcPr>
            <w:tcW w:w="3630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pc激活归因时支持匹配虚拟广告点击</w:t>
            </w:r>
          </w:p>
        </w:tc>
        <w:tc>
          <w:tcPr>
            <w:tcW w:w="94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P1</w:t>
            </w:r>
          </w:p>
        </w:tc>
        <w:tc>
          <w:tcPr>
            <w:tcW w:w="448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t xml:space="preserve">无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1、需求/功能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126"/>
        <w:gridCol w:w="3469"/>
        <w:gridCol w:w="4070"/>
        <w:gridCol w:w="2553"/>
      </w:tblGrid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rPr>
                <w:b w:val="1"/>
              </w:rPr>
              <w:t xml:space="preserve">模块</w:t>
            </w:r>
          </w:p>
        </w:tc>
        <w:tc>
          <w:tcPr>
            <w:tcW w:w="3469" w:type="dxa"/>
            <w:vAlign w:val="center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4070" w:type="dxa"/>
            <w:vAlign w:val="center"/>
          </w:tcPr>
          <w:p>
            <w:pPr/>
            <w:r>
              <w:rPr>
                <w:b w:val="1"/>
              </w:rPr>
              <w:t xml:space="preserve">开发说明</w:t>
            </w:r>
          </w:p>
        </w:tc>
        <w:tc>
          <w:tcPr>
            <w:tcW w:w="2553" w:type="dxa"/>
            <w:vAlign w:val="center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1875"/>
        </w:trPr>
        <w:tc>
          <w:tcPr>
            <w:tcW w:w="1126" w:type="dxa"/>
            <w:vAlign w:val="center"/>
          </w:tcPr>
          <w:p>
            <w:pPr/>
            <w:r>
              <w:t xml:space="preserve">归因</w:t>
            </w:r>
          </w:p>
        </w:tc>
        <w:tc>
          <w:tcPr>
            <w:tcW w:w="3469" w:type="dxa"/>
            <w:vAlign w:val="center"/>
          </w:tcPr>
          <w:p>
            <w:pPr/>
            <w:r>
              <w:t xml:space="preserve">落地页打开归因时，未匹配到广告点击，自动生成虚拟广告点击</w:t>
            </w:r>
          </w:p>
        </w:tc>
        <w:tc>
          <w:tcPr>
            <w:tcW w:w="4070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t xml:space="preserve">落地页打开归因时，未匹配到广告点击，需生成广告点击并写入点击表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广告点击表中新增字段[来源]区分是[媒体下发]还是[智投生成]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自动生成的点击字段，复用落地页打开事件字段，如没有的为空</w:t>
            </w:r>
          </w:p>
        </w:tc>
        <w:tc>
          <w:tcPr>
            <w:tcW w:w="2553" w:type="dxa"/>
            <w:vAlign w:val="center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1126" w:type="dxa"/>
            <w:vAlign w:val="center"/>
          </w:tcPr>
          <w:p>
            <w:pPr/>
            <w:r>
              <w:t xml:space="preserve">归因</w:t>
            </w:r>
          </w:p>
        </w:tc>
        <w:tc>
          <w:tcPr>
            <w:tcW w:w="3469" w:type="dxa"/>
            <w:vAlign w:val="center"/>
          </w:tcPr>
          <w:p>
            <w:pPr/>
            <w:r>
              <w:t xml:space="preserve">pc激活归因时支持匹配虚拟广告点击</w:t>
            </w:r>
          </w:p>
        </w:tc>
        <w:tc>
          <w:tcPr>
            <w:tcW w:w="4070" w:type="dxa"/>
          </w:tcPr>
          <w:p>
            <w:pPr>
              <w:numPr>
                <w:ilvl w:val="0"/>
                <w:numId w:val="2"/>
              </w:numPr>
            </w:pPr>
            <w:r>
              <w:t xml:space="preserve">pc激活归因匹配点击时，需要同时匹配媒体下发的广告点击和智投生成的点击</w:t>
            </w:r>
          </w:p>
        </w:tc>
        <w:tc>
          <w:tcPr>
            <w:tcW w:w="2553" w:type="dxa"/>
          </w:tcPr>
          <w:p>
            <w:pPr/>
            <w:r>
              <w:t xml:space="preserve">无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2、PC归因流程图</w:t>
      </w:r>
    </w:p>
    <w:p>
      <w:r/>
      <w:r/>
    </w:p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变更点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前端影响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后端影响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数据库影响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测试重点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color w:val="000000"/>
          <w:b w:val="1"/>
        </w:rPr>
        <w:t xml:space="preserve">七、</w:t>
      </w:r>
      <w:r>
        <w:rPr>
          <w:sz w:val="40"/>
          <w:b w:val="1"/>
        </w:rPr>
        <w:t xml:space="preserve">附录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 原型地址</w:t>
      </w:r>
    </w:p>
    <w:p>
      <w:pPr/>
      <w:r>
        <w:rPr>
          <w:sz w:val="24"/>
        </w:rPr>
        <w:t xml:space="preserve">无新增页面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2.相关文档</w:t>
      </w:r>
    </w:p>
    <w:p>
      <w:pPr/>
      <w:r>
        <w:rPr>
          <w:sz w:val="22"/>
          <w:color w:val="04B0F1"/>
        </w:rPr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3.会议纪要</w:t>
      </w:r>
    </w:p>
    <w:tbl>
      <w:tblPr>
        <w:tblStyle w:val="TableGrid"/>
        <w:tblW w:w="0" w:type="auto"/>
      </w:tblPr>
      <w:tblGrid>
        <w:gridCol w:w="1455"/>
        <w:gridCol w:w="2520"/>
        <w:gridCol w:w="2520"/>
        <w:gridCol w:w="2520"/>
        <w:gridCol w:w="2160"/>
      </w:tblGrid>
      <w:tr>
        <w:trPr>
          <w:trHeight w:val="600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会议时间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会议性质</w:t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参会人员</w:t>
            </w:r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会议结论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0"/>
                <w:color w:val="000000"/>
                <w:b w:val="1"/>
                <w:shd w:val="clear" w:color="auto" w:fill="F0F4FF"/>
              </w:rPr>
              <w:t xml:space="preserve">会后待办</w:t>
            </w:r>
          </w:p>
        </w:tc>
      </w:tr>
      <w:tr>
        <w:trPr>
          <w:trHeight w:val="675"/>
        </w:trPr>
        <w:tc>
          <w:tcPr>
            <w:tcW w:w="145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  <w:color w:val="04B0F1"/>
              </w:rPr>
              <w:t xml:space="preserve">结论 1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color w:val="04B0F1"/>
              </w:rPr>
              <w:t xml:space="preserve">结论 2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color w:val="04B0F1"/>
              </w:rPr>
              <w:t xml:space="preserve">结论 3</w:t>
            </w:r>
          </w:p>
        </w:tc>
        <w:tc>
          <w:tcPr>
            <w:tcW w:w="216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20"/>
                <w:color w:val="04B0F1"/>
              </w:rPr>
              <w:t xml:space="preserve">待办 1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color w:val="04B0F1"/>
              </w:rPr>
              <w:t xml:space="preserve">待办 2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0"/>
                <w:color w:val="04B0F1"/>
              </w:rPr>
              <w:t xml:space="preserve">待办 3</w:t>
            </w:r>
          </w:p>
        </w:tc>
      </w:tr>
      <w:tr>
        <w:trPr>
          <w:trHeight w:val="555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</w:r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45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52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16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>
        <w:pStyle w:val="dingding-heading4"/>
        <w:spacing w:line="204.70588235294116"/>
      </w:pPr>
      <w:r>
        <w:rPr>
          <w:sz w:val="24"/>
          <w:b w:val="1"/>
        </w:rPr>
        <w:t xml:space="preserve">4.术语解释</w:t>
      </w:r>
    </w:p>
    <w:tbl>
      <w:tblPr>
        <w:tblStyle w:val="TableGrid"/>
        <w:tblW w:w="0" w:type="auto"/>
      </w:tblPr>
      <w:tblGrid>
        <w:gridCol w:w="975"/>
        <w:gridCol w:w="3450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名词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解释</w:t>
            </w:r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5.模板更新记录</w:t>
      </w:r>
    </w:p>
    <w:tbl>
      <w:tblPr>
        <w:tblStyle w:val="TableGrid"/>
        <w:tblW w:w="0" w:type="auto"/>
      </w:tblPr>
      <w:tblGrid>
        <w:gridCol w:w="975"/>
        <w:gridCol w:w="3450"/>
        <w:gridCol w:w="1440"/>
        <w:gridCol w:w="1050"/>
        <w:gridCol w:w="2895"/>
      </w:tblGrid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版本号</w:t>
            </w:r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修订内容</w:t>
            </w:r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修订时间</w:t>
            </w:r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状态</w:t>
            </w:r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  <w:shd w:val="clear" w:color="auto" w:fill="F5F6F7"/>
          </w:tcPr>
          <w:p>
            <w:pPr/>
            <w:r>
              <w:rPr>
                <w:sz w:val="22"/>
                <w:color w:val="000000"/>
                <w:b w:val="1"/>
                <w:shd w:val="clear" w:color="auto" w:fill="F0F4FF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675"/>
        </w:trPr>
        <w:tc>
          <w:tcPr>
            <w:tcW w:w="975" w:type="dxa"/>
            <w:vAlign w:val="top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top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  <w:tr>
        <w:trPr>
          <w:trHeight w:val="1035"/>
        </w:trPr>
        <w:tc>
          <w:tcPr>
            <w:tcW w:w="975" w:type="dxa"/>
            <w:vAlign w:val="center"/>
            <w:tcBorders>
              <w:bottom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34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44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50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895" w:type="dxa"/>
            <w:vAlign w:val="center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ev2.baidu.com/content?sceneType=0&amp;pageId=101211&amp;nodeId=658&amp;subhead=" TargetMode="External" />
  <Relationship Id="rId5" Type="http://schemas.openxmlformats.org/officeDocument/2006/relationships/hyperlink" Target="https://docs.xiaoshanim.com/i/nodes/7gNKMlbrq3WXA7yLP9af4Gv5p6Ad9nL1#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