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v3.14.15.2-代理折扣增加2个字段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200"/>
        <w:gridCol w:w="3765"/>
        <w:gridCol w:w="1320"/>
        <w:gridCol w:w="930"/>
        <w:gridCol w:w="1215"/>
        <w:gridCol w:w="2235"/>
      </w:tblGrid>
      <w:tr>
        <w:trPr>
          <w:trHeight w:val="0"/>
        </w:trPr>
        <w:tc>
          <w:tcPr>
            <w:tcW w:w="12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产品版本号</w:t>
            </w:r>
          </w:p>
        </w:tc>
        <w:tc>
          <w:tcPr>
            <w:tcW w:w="37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修订内容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修订时间</w:t>
            </w:r>
          </w:p>
        </w:tc>
        <w:tc>
          <w:tcPr>
            <w:tcW w:w="9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22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200" w:type="dxa"/>
          </w:tcPr>
          <w:p>
            <w:pPr/>
            <w:r>
              <w:rPr>
                <w:sz w:val="18"/>
              </w:rPr>
              <w:t xml:space="preserve">v3.14.15.2</w:t>
            </w:r>
          </w:p>
        </w:tc>
        <w:tc>
          <w:tcPr>
            <w:tcW w:w="3765" w:type="dxa"/>
          </w:tcPr>
          <w:p>
            <w:pPr/>
            <w:r>
              <w:rPr>
                <w:sz w:val="18"/>
              </w:rPr>
              <w:t xml:space="preserve">起草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2026-05-08</w:t>
            </w:r>
          </w:p>
        </w:tc>
        <w:tc>
          <w:tcPr>
            <w:tcW w:w="930" w:type="dxa"/>
          </w:tcPr>
          <w:p>
            <w:pPr/>
            <w:r>
              <w:rPr>
                <w:sz w:val="18"/>
              </w:rPr>
              <w:t xml:space="preserve">徐韵</w:t>
            </w:r>
          </w:p>
        </w:tc>
        <w:tc>
          <w:tcPr>
            <w:tcW w:w="1215" w:type="dxa"/>
          </w:tcPr>
          <w:p>
            <w:pPr/>
            <w:r>
              <w:rPr>
                <w:sz w:val="18"/>
              </w:rPr>
              <w:t xml:space="preserve">评审通过</w:t>
            </w:r>
          </w:p>
        </w:tc>
        <w:tc>
          <w:tcPr>
            <w:tcW w:w="2235" w:type="dxa"/>
          </w:tcPr>
          <w:p>
            <w:pPr>
              <w:ind/>
            </w:pPr>
            <w:r>
              <w:rPr>
                <w:sz w:val="18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810"/>
        <w:gridCol w:w="1020"/>
        <w:gridCol w:w="3480"/>
        <w:gridCol w:w="3840"/>
        <w:gridCol w:w="3780"/>
        <w:gridCol w:w="1890"/>
        <w:gridCol w:w="2850"/>
        <w:gridCol w:w="2355"/>
        <w:gridCol w:w="990"/>
        <w:gridCol w:w="1470"/>
        <w:gridCol w:w="1005"/>
        <w:gridCol w:w="1350"/>
      </w:tblGrid>
      <w:tr>
        <w:trPr>
          <w:trHeight w:val="630"/>
        </w:trPr>
        <w:tc>
          <w:tcPr>
            <w:tcW w:w="81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优先级</w:t>
            </w:r>
          </w:p>
        </w:tc>
        <w:tc>
          <w:tcPr>
            <w:tcW w:w="102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变更维度</w:t>
            </w:r>
          </w:p>
        </w:tc>
        <w:tc>
          <w:tcPr>
            <w:tcW w:w="34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变更前</w:t>
            </w:r>
          </w:p>
        </w:tc>
        <w:tc>
          <w:tcPr>
            <w:tcW w:w="38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变更后</w:t>
            </w:r>
          </w:p>
        </w:tc>
        <w:tc>
          <w:tcPr>
            <w:tcW w:w="37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功能补充说明</w:t>
            </w:r>
          </w:p>
        </w:tc>
        <w:tc>
          <w:tcPr>
            <w:tcW w:w="18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UI原型补充截图</w:t>
            </w:r>
          </w:p>
        </w:tc>
        <w:tc>
          <w:tcPr>
            <w:tcW w:w="28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影响范围</w:t>
            </w:r>
          </w:p>
        </w:tc>
        <w:tc>
          <w:tcPr>
            <w:tcW w:w="235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变更原因与必要性</w:t>
            </w:r>
          </w:p>
        </w:tc>
        <w:tc>
          <w:tcPr>
            <w:tcW w:w="9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47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修订日期</w:t>
            </w:r>
          </w:p>
        </w:tc>
        <w:tc>
          <w:tcPr>
            <w:tcW w:w="100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13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810" w:type="dxa"/>
          </w:tcPr>
          <w:p>
            <w:pPr/>
            <w:r/>
          </w:p>
        </w:tc>
        <w:tc>
          <w:tcPr>
            <w:tcW w:w="1020" w:type="dxa"/>
          </w:tcPr>
          <w:p>
            <w:pPr/>
            <w:r/>
          </w:p>
        </w:tc>
        <w:tc>
          <w:tcPr>
            <w:tcW w:w="3480" w:type="dxa"/>
          </w:tcPr>
          <w:p>
            <w:pPr/>
            <w:r/>
          </w:p>
        </w:tc>
        <w:tc>
          <w:tcPr>
            <w:tcW w:w="3840" w:type="dxa"/>
          </w:tcPr>
          <w:p>
            <w:pPr/>
            <w:r/>
          </w:p>
        </w:tc>
        <w:tc>
          <w:tcPr>
            <w:tcW w:w="3780" w:type="dxa"/>
          </w:tcPr>
          <w:p>
            <w:pPr/>
            <w:r/>
          </w:p>
        </w:tc>
        <w:tc>
          <w:tcPr>
            <w:tcW w:w="1890" w:type="dxa"/>
          </w:tcPr>
          <w:p>
            <w:pPr/>
            <w:r/>
          </w:p>
        </w:tc>
        <w:tc>
          <w:tcPr>
            <w:tcW w:w="2850" w:type="dxa"/>
          </w:tcPr>
          <w:p>
            <w:pPr/>
            <w:r/>
          </w:p>
        </w:tc>
        <w:tc>
          <w:tcPr>
            <w:tcW w:w="2355" w:type="dxa"/>
          </w:tcPr>
          <w:p>
            <w:pPr/>
            <w:r/>
          </w:p>
        </w:tc>
        <w:tc>
          <w:tcPr>
            <w:tcW w:w="990" w:type="dxa"/>
          </w:tcPr>
          <w:p>
            <w:pPr/>
            <w:r/>
          </w:p>
        </w:tc>
        <w:tc>
          <w:tcPr>
            <w:tcW w:w="1470" w:type="dxa"/>
          </w:tcPr>
          <w:p>
            <w:pPr/>
            <w:r/>
          </w:p>
        </w:tc>
        <w:tc>
          <w:tcPr>
            <w:tcW w:w="1005" w:type="dxa"/>
          </w:tcPr>
          <w:p>
            <w:pPr/>
            <w:r/>
          </w:p>
        </w:tc>
        <w:tc>
          <w:tcPr>
            <w:tcW w:w="135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1.1 业务背景</w:t>
      </w:r>
    </w:p>
    <w:p>
      <w:pPr/>
      <w:r>
        <w:rPr>
          <w:sz w:val="18"/>
        </w:rPr>
        <w:t xml:space="preserve">26年公司要推行预付模式，媒体增加账期政策，预付或垫付结算越早返点越高。</w:t>
      </w:r>
    </w:p>
    <w:p>
      <w:pPr/>
      <w:r>
        <w:rPr>
          <w:sz w:val="18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1.2 现存问题</w:t>
      </w:r>
    </w:p>
    <w:tbl>
      <w:tblPr>
        <w:tblStyle w:val="TableGrid"/>
        <w:tblW w:w="0" w:type="auto"/>
      </w:tblPr>
      <w:tblGrid>
        <w:gridCol w:w="1740"/>
        <w:gridCol w:w="5145"/>
        <w:gridCol w:w="3240"/>
      </w:tblGrid>
      <w:tr>
        <w:trPr>
          <w:trHeight w:val="0"/>
        </w:trPr>
        <w:tc>
          <w:tcPr>
            <w:tcW w:w="17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问题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具体表现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t xml:space="preserve">无法录入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t xml:space="preserve">缺少区分字段</w:t>
            </w:r>
          </w:p>
        </w:tc>
        <w:tc>
          <w:tcPr>
            <w:tcW w:w="3240" w:type="dxa"/>
          </w:tcPr>
          <w:p>
            <w:pPr/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1.3 本版方案</w:t>
      </w:r>
    </w:p>
    <w:p>
      <w:pPr/>
      <w:r>
        <w:rPr>
          <w:sz w:val="18"/>
        </w:rPr>
        <w:t xml:space="preserve">增加字段区分，投放按不同选项绑定</w:t>
      </w:r>
    </w:p>
    <w:p>
      <w:pPr/>
      <w:r>
        <w:rPr>
          <w:sz w:val="18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二、版本目标</w:t>
      </w:r>
    </w:p>
    <w:tbl>
      <w:tblPr>
        <w:tblStyle w:val="TableGrid"/>
        <w:tblW w:w="0" w:type="auto"/>
      </w:tblPr>
      <w:tblGrid>
        <w:gridCol w:w="795"/>
        <w:gridCol w:w="3675"/>
        <w:gridCol w:w="4125"/>
        <w:gridCol w:w="3675"/>
        <w:gridCol w:w="975"/>
      </w:tblGrid>
      <w:tr>
        <w:trPr>
          <w:trHeight w:val="0"/>
        </w:trPr>
        <w:tc>
          <w:tcPr>
            <w:tcW w:w="7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序号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产品/业务目标</w:t>
            </w:r>
          </w:p>
        </w:tc>
        <w:tc>
          <w:tcPr>
            <w:tcW w:w="41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价值收益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衡量标准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1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尽快完成配置，</w:t>
            </w:r>
            <w:r>
              <w:rPr>
                <w:sz w:val="18"/>
                <w:color w:val="FE0300"/>
              </w:rPr>
              <w:t xml:space="preserve">采购下周录完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提高投放ROI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是否录入完整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3.1 本版支持</w:t>
      </w:r>
    </w:p>
    <w:tbl>
      <w:tblPr>
        <w:tblStyle w:val="TableGrid"/>
        <w:tblW w:w="0" w:type="auto"/>
      </w:tblPr>
      <w:tblGrid>
        <w:gridCol w:w="885"/>
        <w:gridCol w:w="4365"/>
        <w:gridCol w:w="2340"/>
        <w:gridCol w:w="4500"/>
        <w:gridCol w:w="3375"/>
      </w:tblGrid>
      <w:tr>
        <w:trPr>
          <w:trHeight w:val="0"/>
        </w:trPr>
        <w:tc>
          <w:tcPr>
            <w:tcW w:w="88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436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23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50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37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本版决策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R-1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折扣管理增加付款模式、结算账期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采购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提供区分录入功能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组件联动、去重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3.2 原型</w:t>
      </w:r>
    </w:p>
    <w:tbl>
      <w:tblPr>
        <w:tblStyle w:val="TableGrid"/>
        <w:tblW w:w="0" w:type="auto"/>
      </w:tblPr>
      <w:tblGrid>
        <w:gridCol w:w="780"/>
        <w:gridCol w:w="780"/>
        <w:gridCol w:w="2370"/>
        <w:gridCol w:w="1185"/>
        <w:gridCol w:w="4950"/>
        <w:gridCol w:w="2865"/>
      </w:tblGrid>
      <w:tr>
        <w:trPr>
          <w:trHeight w:val="0"/>
        </w:trPr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</w:t>
            </w:r>
          </w:p>
        </w:tc>
        <w:tc>
          <w:tcPr>
            <w:tcW w:w="23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18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28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原型输出重点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P-02</w:t>
            </w:r>
          </w:p>
        </w:tc>
        <w:tc>
          <w:tcPr>
            <w:tcW w:w="12150" w:type="dxa"/>
            <w:gridSpan w:val="5"/>
          </w:tcPr>
          <w:p>
            <w:pPr/>
            <w:r>
              <w:t xml:space="preserve">略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四、功能列表</w:t>
      </w:r>
    </w:p>
    <w:tbl>
      <w:tblPr>
        <w:tblStyle w:val="TableGrid"/>
        <w:tblW w:w="0" w:type="auto"/>
      </w:tblPr>
      <w:tblGrid>
        <w:gridCol w:w="1170"/>
        <w:gridCol w:w="1320"/>
        <w:gridCol w:w="7755"/>
        <w:gridCol w:w="2310"/>
      </w:tblGrid>
      <w:tr>
        <w:trPr>
          <w:trHeight w:val="0"/>
        </w:trPr>
        <w:tc>
          <w:tcPr>
            <w:tcW w:w="11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功能模块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页面/能力</w:t>
            </w:r>
          </w:p>
        </w:tc>
        <w:tc>
          <w:tcPr>
            <w:tcW w:w="775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当前承接工具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49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录入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1、代理商增加“付款模式“、”结算账期”字段，完成增删改查，及唯一性校验</w:t>
            </w:r>
          </w:p>
        </w:tc>
        <w:tc>
          <w:tcPr>
            <w:tcW w:w="2310" w:type="dxa"/>
          </w:tcPr>
          <w:p>
            <w:pPr/>
            <w:r>
              <w:rPr>
                <w:sz w:val="18"/>
              </w:rPr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绑定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2、账户管理增加“付款模式“、”结算账期”字段，完成增删改查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数据表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3、Seatunnel入仓更新agent_rebate、ad_account新增的两个字段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去重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4、账户折扣拉链表计算过程中增加“付款模式“、”结算账期”的关联匹配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指标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5、折后消耗：预付和垫付公式一样</w:t>
            </w:r>
          </w:p>
        </w:tc>
        <w:tc>
          <w:tcPr>
            <w:tcW w:w="231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5.1 通用参数定义</w:t>
      </w:r>
    </w:p>
    <w:tbl>
      <w:tblPr>
        <w:tblStyle w:val="TableGrid"/>
        <w:tblW w:w="0" w:type="auto"/>
      </w:tblPr>
      <w:tblGrid>
        <w:gridCol w:w="1560"/>
        <w:gridCol w:w="2130"/>
        <w:gridCol w:w="960"/>
        <w:gridCol w:w="960"/>
        <w:gridCol w:w="2055"/>
        <w:gridCol w:w="1995"/>
      </w:tblGrid>
      <w:tr>
        <w:trPr>
          <w:trHeight w:val="0"/>
        </w:trPr>
        <w:tc>
          <w:tcPr>
            <w:tcW w:w="15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枚举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必填</w:t>
            </w:r>
          </w:p>
        </w:tc>
        <w:tc>
          <w:tcPr>
            <w:tcW w:w="960" w:type="dxa"/>
          </w:tcPr>
          <w:p>
            <w:pPr/>
            <w:r>
              <w:t xml:space="preserve">单多选</w:t>
            </w:r>
          </w:p>
        </w:tc>
        <w:tc>
          <w:tcPr>
            <w:tcW w:w="2055" w:type="dxa"/>
          </w:tcPr>
          <w:p>
            <w:pPr/>
            <w:r>
              <w:t xml:space="preserve">联动关系</w:t>
            </w:r>
          </w:p>
        </w:tc>
        <w:tc>
          <w:tcPr>
            <w:tcW w:w="19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历史数据处理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t xml:space="preserve">付款模式</w:t>
            </w:r>
          </w:p>
        </w:tc>
        <w:tc>
          <w:tcPr>
            <w:tcW w:w="2130" w:type="dxa"/>
          </w:tcPr>
          <w:p>
            <w:pPr/>
            <w:r>
              <w:rPr>
                <w:sz w:val="18"/>
              </w:rPr>
              <w:t xml:space="preserve">预付 垫付 无   </w:t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960" w:type="dxa"/>
          </w:tcPr>
          <w:p>
            <w:pPr/>
            <w:r>
              <w:t xml:space="preserve">单选</w:t>
            </w:r>
          </w:p>
        </w:tc>
        <w:tc>
          <w:tcPr>
            <w:tcW w:w="2055" w:type="dxa"/>
            <w:vMerge w:val="restart"/>
          </w:tcPr>
          <w:p>
            <w:pPr/>
            <w:r>
              <w:rPr>
                <w:sz w:val="18"/>
              </w:rPr>
              <w:t xml:space="preserve">预付时无结算账期选项</w:t>
            </w:r>
          </w:p>
        </w:tc>
        <w:tc>
          <w:tcPr>
            <w:tcW w:w="1995" w:type="dxa"/>
          </w:tcPr>
          <w:p>
            <w:pPr/>
            <w:r>
              <w:rPr>
                <w:sz w:val="18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t xml:space="preserve">结算账期</w:t>
            </w:r>
          </w:p>
        </w:tc>
        <w:tc>
          <w:tcPr>
            <w:tcW w:w="2130" w:type="dxa"/>
          </w:tcPr>
          <w:p>
            <w:pPr/>
            <w:r>
              <w:rPr>
                <w:sz w:val="18"/>
              </w:rPr>
              <w:t xml:space="preserve">1个月 2个月 3个月 无</w:t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960" w:type="dxa"/>
          </w:tcPr>
          <w:p>
            <w:pPr/>
            <w:r>
              <w:t xml:space="preserve">单选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1995" w:type="dxa"/>
          </w:tcPr>
          <w:p>
            <w:pPr/>
            <w:r>
              <w:rPr>
                <w:sz w:val="18"/>
              </w:rP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5.2 计算公式</w:t>
      </w:r>
    </w:p>
    <w:p>
      <w:pPr/>
      <w:r>
        <w:rPr>
          <w:sz w:val="18"/>
        </w:rPr>
        <w:t xml:space="preserve">预付金额X   充值账面消耗=X*(1+返点）%  折后消耗X    折后消耗=账面消耗/(1+返点）%</w:t>
      </w:r>
    </w:p>
    <w:p>
      <w:pPr/>
      <w:r>
        <w:rPr>
          <w:sz w:val="18"/>
        </w:rPr>
        <w:t xml:space="preserve">垫付     账面消耗X   折后消耗=X/(1+返点）%</w:t>
      </w:r>
    </w:p>
    <w:p>
      <w:pPr/>
      <w:r>
        <w:rPr>
          <w:sz w:val="18"/>
        </w:rPr>
      </w:r>
    </w:p>
    <w:p>
      <w:pPr/>
      <w:r>
        <w:rPr>
          <w:sz w:val="18"/>
        </w:rPr>
        <w:t xml:space="preserve">最终都是：  折后消耗=账面消耗/(1+返点）%</w:t>
      </w:r>
      <w:r>
        <w:t xml:space="preserve">  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5.3 相关字段</w:t>
      </w:r>
    </w:p>
    <w:p>
      <w:pPr/>
      <w:r>
        <w:t xml:space="preserve">付款模式码值：   预付：prepay   垫付： advance     无：none</w:t>
      </w:r>
    </w:p>
    <w:p>
      <w:pPr/>
      <w:r>
        <w:t xml:space="preserve">结算账期码值：   1个月：net30 2个月：net60 3个月：net90  无：none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10"/>
        <w:gridCol w:w="5715"/>
        <w:gridCol w:w="3240"/>
      </w:tblGrid>
      <w:tr>
        <w:trPr>
          <w:trHeight w:val="0"/>
        </w:trPr>
        <w:tc>
          <w:tcPr>
            <w:tcW w:w="14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影响维度</w:t>
            </w:r>
          </w:p>
        </w:tc>
        <w:tc>
          <w:tcPr>
            <w:tcW w:w="57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影响内容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处理方式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/>
          </w:p>
        </w:tc>
        <w:tc>
          <w:tcPr>
            <w:tcW w:w="5715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七、附录</w:t>
      </w:r>
    </w:p>
    <w:p>
      <w:pPr/>
      <w:r/>
      <w:r>
        <w:drawing>
          <wp:inline distT="0" distB="0" distL="0" distR="0">
            <wp:extent cx="4686300" cy="40386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4686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