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v3.14.2.2-插入需求-单媒体应用支持配置多团队</w:t>
      </w:r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一、背景</w:t>
      </w:r>
    </w:p>
    <w:p>
      <w:pPr>
        <w:numPr>
          <w:ilvl w:val="0"/>
          <w:numId w:val="1"/>
        </w:numPr>
      </w:pPr>
      <w:r>
        <w:t xml:space="preserve">三国杀都是单媒体应用，但是不支持分包，也就是多个团队共用一个渠道包，当前无法拆分多团队。</w:t>
      </w:r>
    </w:p>
    <w:p>
      <w:pPr>
        <w:ind/>
      </w:pPr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二、目标</w:t>
      </w:r>
    </w:p>
    <w:p>
      <w:pPr/>
      <w:r>
        <w:t xml:space="preserve">梳理清楚多团队模式下，满足业务的推广和报表看数功能。</w:t>
      </w:r>
    </w:p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三、需求清单</w:t>
      </w:r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930"/>
        <w:gridCol w:w="5865"/>
        <w:gridCol w:w="1410"/>
      </w:tblGrid>
      <w:tr>
        <w:trPr>
          <w:trHeight w:val="0"/>
        </w:trPr>
        <w:tc>
          <w:tcPr>
            <w:tcW w:w="930" w:type="dxa"/>
            <w:shd w:val="clear" w:color="auto" w:fill="CBCCCD"/>
          </w:tcPr>
          <w:p>
            <w:pPr/>
            <w:r>
              <w:rPr>
                <w:b w:val="1"/>
              </w:rPr>
              <w:t xml:space="preserve">序号</w:t>
            </w:r>
          </w:p>
        </w:tc>
        <w:tc>
          <w:tcPr>
            <w:tcW w:w="5865" w:type="dxa"/>
            <w:shd w:val="clear" w:color="auto" w:fill="CBCCCD"/>
          </w:tcPr>
          <w:p>
            <w:pPr/>
            <w:r>
              <w:rPr>
                <w:b w:val="1"/>
              </w:rPr>
              <w:t xml:space="preserve">需求简称</w:t>
            </w:r>
          </w:p>
        </w:tc>
        <w:tc>
          <w:tcPr>
            <w:tcW w:w="1410" w:type="dxa"/>
            <w:shd w:val="clear" w:color="auto" w:fill="CBCCCD"/>
          </w:tcPr>
          <w:p>
            <w:pPr/>
            <w:r>
              <w:rPr>
                <w:b w:val="1"/>
              </w:rPr>
              <w:t xml:space="preserve">优先级</w:t>
            </w:r>
          </w:p>
        </w:tc>
      </w:tr>
      <w:tr>
        <w:trPr>
          <w:trHeight w:val="0"/>
        </w:trPr>
        <w:tc>
          <w:tcPr>
            <w:tcW w:w="930" w:type="dxa"/>
          </w:tcPr>
          <w:p>
            <w:pPr/>
            <w:r>
              <w:t xml:space="preserve">1</w:t>
            </w:r>
          </w:p>
        </w:tc>
        <w:tc>
          <w:tcPr>
            <w:tcW w:w="5865" w:type="dxa"/>
          </w:tcPr>
          <w:p>
            <w:pPr/>
            <w:r>
              <w:t xml:space="preserve">应用支持多团队绑定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930" w:type="dxa"/>
          </w:tcPr>
          <w:p>
            <w:pPr/>
            <w:r>
              <w:t xml:space="preserve">2</w:t>
            </w:r>
          </w:p>
        </w:tc>
        <w:tc>
          <w:tcPr>
            <w:tcW w:w="5865" w:type="dxa"/>
          </w:tcPr>
          <w:p>
            <w:pPr/>
            <w:r>
              <w:t xml:space="preserve">分包支持多团队绑定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930" w:type="dxa"/>
          </w:tcPr>
          <w:p>
            <w:pPr/>
            <w:r>
              <w:t xml:space="preserve">3</w:t>
            </w:r>
          </w:p>
        </w:tc>
        <w:tc>
          <w:tcPr>
            <w:tcW w:w="5865" w:type="dxa"/>
          </w:tcPr>
          <w:p>
            <w:pPr/>
            <w:r>
              <w:t xml:space="preserve">自然量分摊规则从项目消耗改为包消耗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  <w:tr>
        <w:trPr>
          <w:trHeight w:val="0"/>
        </w:trPr>
        <w:tc>
          <w:tcPr>
            <w:tcW w:w="930" w:type="dxa"/>
          </w:tcPr>
          <w:p>
            <w:pPr/>
            <w:r>
              <w:t xml:space="preserve">4</w:t>
            </w:r>
          </w:p>
        </w:tc>
        <w:tc>
          <w:tcPr>
            <w:tcW w:w="5865" w:type="dxa"/>
          </w:tcPr>
          <w:p>
            <w:pPr/>
            <w:r>
              <w:t xml:space="preserve">检查报表逻辑</w:t>
            </w:r>
          </w:p>
        </w:tc>
        <w:tc>
          <w:tcPr>
            <w:tcW w:w="1410" w:type="dxa"/>
          </w:tcPr>
          <w:p>
            <w:pPr/>
            <w:r>
              <w:t xml:space="preserve">P1</w:t>
            </w:r>
          </w:p>
        </w:tc>
      </w:tr>
    </w:tbl>
    <w:p>
      <w:pPr/>
      <w:r/>
    </w:p>
    <w:p>
      <w:pPr>
        <w:pStyle w:val="dingding-heading1"/>
        <w:spacing w:line="204.70588235294116"/>
      </w:pPr>
      <w:r>
        <w:rPr>
          <w:sz w:val="40"/>
          <w:b w:val="1"/>
        </w:rPr>
        <w:t xml:space="preserve">四、需求说明</w:t>
      </w:r>
    </w:p>
    <w:tbl>
      <w:tblPr>
        <w:tblStyle w:val="TableGrid"/>
        <w:tblW w:w="0" w:type="auto"/>
      </w:tblPr>
      <w:tblGrid>
        <w:gridCol w:w="780"/>
        <w:gridCol w:w="1230"/>
        <w:gridCol w:w="2130"/>
        <w:gridCol w:w="6735"/>
        <w:gridCol w:w="5025"/>
        <w:gridCol w:w="1185"/>
      </w:tblGrid>
      <w:tr>
        <w:trPr>
          <w:trHeight w:val="630"/>
        </w:trPr>
        <w:tc>
          <w:tcPr>
            <w:tcW w:w="78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编号</w:t>
            </w:r>
          </w:p>
        </w:tc>
        <w:tc>
          <w:tcPr>
            <w:tcW w:w="12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模块</w:t>
            </w:r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</w:rPr>
              <w:t xml:space="preserve">子模块</w:t>
            </w:r>
          </w:p>
        </w:tc>
        <w:tc>
          <w:tcPr>
            <w:tcW w:w="673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left"/>
            </w:pPr>
            <w:r>
              <w:rPr>
                <w:color w:val="FFFFFF"/>
                <w:b w:val="1"/>
                <w:shd w:val="clear" w:color="auto" w:fill="7E7F7F"/>
              </w:rPr>
              <w:t xml:space="preserve">需求简称(*)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/>
            <w:r>
              <w:t xml:space="preserve">原型</w:t>
            </w:r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000000"/>
              <w:right w:val="single" w:sz="6" w:space="0" w:color="000000"/>
              <w:left w:val="single" w:sz="6" w:space="0" w:color="000000"/>
            </w:tcBorders>
            <w:shd w:val="clear" w:color="auto" w:fill="7E7F7F"/>
          </w:tcPr>
          <w:p>
            <w:pPr>
              <w:jc w:val="center"/>
            </w:pPr>
            <w:r>
              <w:rPr>
                <w:color w:val="FFFFFF"/>
                <w:b w:val="1"/>
                <w:shd w:val="clear" w:color="auto" w:fill="7E7F7F"/>
              </w:rPr>
              <w:t xml:space="preserve">优先级</w:t>
            </w:r>
          </w:p>
        </w:tc>
      </w:tr>
      <w:tr>
        <w:trPr>
          <w:trHeight w:val="1005"/>
        </w:trPr>
        <w:tc>
          <w:tcPr>
            <w:tcW w:w="78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23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配置层</w:t>
            </w:r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应用管理 </w:t>
            </w:r>
          </w:p>
        </w:tc>
        <w:tc>
          <w:tcPr>
            <w:tcW w:w="673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numPr>
                <w:ilvl w:val="0"/>
                <w:numId w:val="2"/>
              </w:numPr>
            </w:pPr>
            <w:r>
              <w:t xml:space="preserve">选择单媒体推广时，可设置多个团队</w:t>
            </w:r>
          </w:p>
          <w:p>
            <w:pPr>
              <w:numPr>
                <w:ilvl w:val="0"/>
                <w:numId w:val="2"/>
              </w:numPr>
            </w:pPr>
            <w:r>
              <w:t xml:space="preserve">文案修改：</w:t>
            </w:r>
          </w:p>
          <w:p>
            <w:pPr>
              <w:pStyle w:val="dingding_quote"/>
              <w:ind/>
              <w:spacing/>
            </w:pPr>
            <w:r>
              <w:rPr>
                <w:sz w:val="21"/>
                <w:color w:val="000000"/>
              </w:rPr>
              <w:t xml:space="preserve">应用绑定单个团队时，归因结果全部归为该团队。注：如果是混合推广，是点击归因结果。如果是单媒体推广则是包体归因结果。</w:t>
            </w:r>
          </w:p>
          <w:p>
            <w:pPr>
              <w:pStyle w:val="dingding_quote"/>
              <w:ind/>
              <w:spacing/>
            </w:pPr>
            <w:r>
              <w:rPr>
                <w:sz w:val="21"/>
                <w:color w:val="000000"/>
              </w:rPr>
            </w:r>
          </w:p>
          <w:p>
            <w:pPr>
              <w:pStyle w:val="dingding_quote"/>
              <w:ind/>
              <w:spacing/>
            </w:pPr>
            <w:r>
              <w:rPr>
                <w:sz w:val="21"/>
                <w:color w:val="000000"/>
              </w:rPr>
              <w:t xml:space="preserve">应用绑定多个团队时，按监测活动绑定的团队区分数据，监测活动是点击归因结果，包体下点击归因未归到的用户归为未知团队。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r>
              <w:drawing>
                <wp:inline distT="0" distB="0" distL="0" distR="0">
                  <wp:extent cx="3048000" cy="3444846"/>
                  <wp:effectExtent b="0" l="0" r="0" t="0"/>
                  <wp:docPr id="1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3048000" cy="3444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185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P1</w:t>
            </w:r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分包管理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numPr>
                <w:ilvl w:val="0"/>
                <w:numId w:val="3"/>
              </w:numPr>
            </w:pPr>
            <w:r>
              <w:t xml:space="preserve">分包可设置多个团队</w:t>
            </w:r>
          </w:p>
          <w:p>
            <w:pPr>
              <w:numPr>
                <w:ilvl w:val="0"/>
                <w:numId w:val="3"/>
              </w:numPr>
            </w:pPr>
            <w:r>
              <w:t xml:space="preserve">文案修改：</w:t>
            </w:r>
          </w:p>
          <w:p>
            <w:pPr>
              <w:pStyle w:val="dingding_quote"/>
              <w:ind/>
            </w:pPr>
            <w:r>
              <w:rPr>
                <w:sz w:val="21"/>
                <w:color w:val="000000"/>
              </w:rPr>
              <w:t xml:space="preserve">分包绑定单个团队时，归因结果全部归为该团队。注：分包默认只支持单媒体推广，则是包体归因结果。</w:t>
            </w:r>
          </w:p>
          <w:p>
            <w:pPr>
              <w:pStyle w:val="dingding_quote"/>
              <w:ind/>
              <w:spacing/>
            </w:pPr>
            <w:r>
              <w:rPr>
                <w:sz w:val="21"/>
                <w:color w:val="000000"/>
              </w:rPr>
            </w:r>
          </w:p>
          <w:p>
            <w:pPr>
              <w:pStyle w:val="dingding_quote"/>
              <w:ind/>
              <w:spacing/>
            </w:pPr>
            <w:r>
              <w:rPr>
                <w:sz w:val="21"/>
                <w:color w:val="000000"/>
              </w:rPr>
              <w:t xml:space="preserve">分包绑定多个团队时，按监测活动绑定的团队区分数据，监测活动是点击归因结果，包体下点击归因未归到的用户归为未知团队。</w:t>
            </w:r>
          </w:p>
          <w:p>
            <w:pPr>
              <w:ind/>
              <w:spacing/>
            </w:pPr>
            <w:r>
              <w:rPr>
                <w:sz w:val="21"/>
                <w:color w:val="000000"/>
              </w:rPr>
            </w:r>
          </w:p>
          <w:p>
            <w:pPr>
              <w:ind/>
              <w:spacing/>
            </w:pPr>
            <w:r>
              <w:rPr>
                <w:sz w:val="21"/>
                <w:color w:val="000000"/>
              </w:rPr>
            </w:r>
          </w:p>
          <w:p>
            <w:pPr>
              <w:ind/>
              <w:spacing/>
            </w:pPr>
            <w:r>
              <w:rPr>
                <w:sz w:val="21"/>
                <w:i w:val="1"/>
              </w:rPr>
              <w:t xml:space="preserve">开发说明：应用和分包的区别在于分包没有做多媒体的绑定，后续如果需要再在这里迭代。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r>
              <w:drawing>
                <wp:inline distT="0" distB="0" distL="0" distR="0">
                  <wp:extent cx="3048000" cy="1767710"/>
                  <wp:effectExtent b="0" l="0" r="0" t="0"/>
                  <wp:docPr id="2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 rot="0">
                            <a:off x="0" y="0"/>
                            <a:ext cx="3048000" cy="1767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活动管理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1、选择应用或分包后，团队可选列表实时读取应用或分包绑定的团队。</w:t>
            </w:r>
          </w:p>
          <w:p>
            <w:pPr/>
            <w:r>
              <w:t xml:space="preserve">2、应用和分包绑定的团队变更后，活动不更新，用户可在活动列表批量选择团队后，批量修改团队。</w:t>
            </w:r>
          </w:p>
          <w:p>
            <w:pPr/>
            <w:r/>
          </w:p>
          <w:p>
            <w:pPr/>
            <w:r/>
          </w:p>
          <w:p>
            <w:pPr/>
            <w:r>
              <w:t xml:space="preserve">功能上线后，手杀 4 个活动要修改成 创新部</w:t>
            </w:r>
          </w:p>
          <w:p>
            <w:pPr/>
            <w:r>
              <w:t xml:space="preserve">AND-SGS-JL-JT-AI-19</w:t>
            </w:r>
          </w:p>
          <w:p>
            <w:pPr/>
            <w:r>
              <w:t xml:space="preserve">AND-SGS-JL-JT-AI-18</w:t>
            </w:r>
          </w:p>
          <w:p>
            <w:pPr/>
            <w:r>
              <w:t xml:space="preserve">IOS-AI-JRTT-JT-61</w:t>
            </w:r>
          </w:p>
          <w:p>
            <w:pPr/>
            <w:r>
              <w:t xml:space="preserve">IOS-AI-JRTT-JT-62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r>
              <w:drawing>
                <wp:inline distT="0" distB="0" distL="0" distR="0">
                  <wp:extent cx="3048000" cy="2408144"/>
                  <wp:effectExtent b="0" l="0" r="0" t="0"/>
                  <wp:docPr id="3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/>
                        </pic:blipFill>
                        <pic:spPr>
                          <a:xfrm rot="0">
                            <a:off x="0" y="0"/>
                            <a:ext cx="3048000" cy="2408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tcW w:w="78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230" w:type="dxa"/>
            <w:vMerge w:val="restart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报表层</w:t>
            </w:r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实时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1、 默认</w:t>
            </w:r>
          </w:p>
          <w:p>
            <w:pPr/>
            <w:r>
              <w:t xml:space="preserve">包体归因+点击归因+自然量可选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2、 筛选媒体</w:t>
            </w:r>
          </w:p>
          <w:p>
            <w:pPr/>
            <w:r>
              <w:t xml:space="preserve">单媒体：包体归因</w:t>
            </w:r>
          </w:p>
          <w:p>
            <w:pPr/>
            <w:r>
              <w:t xml:space="preserve">多媒体：点击归因</w:t>
            </w:r>
          </w:p>
          <w:p>
            <w:pPr/>
            <w:r>
              <w:t xml:space="preserve">自然量媒体：iOS+安卓+H5自然量规则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4、 筛选团队</w:t>
            </w:r>
          </w:p>
          <w:p>
            <w:pPr/>
            <w:r>
              <w:t xml:space="preserve">单团队包+单媒体：包体归因</w:t>
            </w:r>
          </w:p>
          <w:p>
            <w:pPr/>
            <w:r>
              <w:t xml:space="preserve">单团队包+多媒体：点击归因</w:t>
            </w:r>
          </w:p>
          <w:p>
            <w:pPr/>
            <w:r>
              <w:t xml:space="preserve">多团队包+单媒体：点击归因+未知团队</w:t>
            </w:r>
          </w:p>
          <w:p>
            <w:pPr/>
            <w:r>
              <w:t xml:space="preserve">多团队包+多媒体：点击归因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5、 筛选团队和媒体</w:t>
            </w:r>
          </w:p>
          <w:p>
            <w:pPr/>
            <w:r>
              <w:t xml:space="preserve">同上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6、 筛选团队和自然量媒体</w:t>
            </w:r>
          </w:p>
          <w:p>
            <w:pPr/>
            <w:r>
              <w:t xml:space="preserve">单团队包+单媒体：无</w:t>
            </w:r>
          </w:p>
          <w:p>
            <w:pPr/>
            <w:r>
              <w:t xml:space="preserve">单团队包+多媒体：点击归因+自然量分摊</w:t>
            </w:r>
          </w:p>
          <w:p>
            <w:pPr/>
            <w:r>
              <w:t xml:space="preserve">多团队包+单媒体：无</w:t>
            </w:r>
          </w:p>
          <w:p>
            <w:pPr/>
            <w:r>
              <w:t xml:space="preserve">多团队包+多媒体：点击归因+自然量分摊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  <w:r>
              <w:drawing>
                <wp:inline distT="0" distB="0" distL="0" distR="0">
                  <wp:extent cx="3048000" cy="235078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3048000" cy="23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日周月报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同上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广告报表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t xml:space="preserve">同上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活动报表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1、 默认</w:t>
            </w:r>
          </w:p>
          <w:p>
            <w:pPr/>
            <w:r>
              <w:t xml:space="preserve">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2、 筛选媒体</w:t>
            </w:r>
          </w:p>
          <w:p>
            <w:pPr/>
            <w:r>
              <w:t xml:space="preserve">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4、 筛选团队</w:t>
            </w:r>
          </w:p>
          <w:p>
            <w:pPr/>
            <w:r>
              <w:t xml:space="preserve">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5、 筛选团队和媒体</w:t>
            </w:r>
          </w:p>
          <w:p>
            <w:pPr/>
            <w:r>
              <w:t xml:space="preserve">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6、 筛选团队和自然量媒体</w:t>
            </w:r>
          </w:p>
          <w:p>
            <w:pPr/>
            <w:r>
              <w:t xml:space="preserve">点击归因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vMerge w:val="continue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2130" w:type="dxa"/>
            <w:vAlign w:val="center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>
              <w:jc w:val="center"/>
            </w:pPr>
            <w:r>
              <w:t xml:space="preserve">包体报表</w:t>
            </w:r>
          </w:p>
        </w:tc>
        <w:tc>
          <w:tcPr>
            <w:tcW w:w="673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>
              <w:rPr>
                <w:b w:val="1"/>
              </w:rPr>
              <w:t xml:space="preserve">1、 默认</w:t>
            </w:r>
          </w:p>
          <w:p>
            <w:pPr/>
            <w:r>
              <w:t xml:space="preserve">单媒体包：包体归因</w:t>
            </w:r>
          </w:p>
          <w:p>
            <w:pPr/>
            <w:r>
              <w:t xml:space="preserve">多媒体+官方共用包：包体归因</w:t>
            </w:r>
          </w:p>
          <w:p>
            <w:pPr/>
            <w:r>
              <w:t xml:space="preserve">多媒体+联运共用包：点击归因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2、 筛选媒体</w:t>
            </w:r>
          </w:p>
          <w:p>
            <w:pPr/>
            <w:r>
              <w:t xml:space="preserve">单媒体包：包体归因</w:t>
            </w:r>
          </w:p>
          <w:p>
            <w:pPr/>
            <w:r>
              <w:t xml:space="preserve">多媒体+官方共用包：点击归因</w:t>
            </w:r>
          </w:p>
          <w:p>
            <w:pPr/>
            <w:r>
              <w:t xml:space="preserve">多媒体+联运共用包：点击归因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4、 筛选团队</w:t>
            </w:r>
          </w:p>
          <w:p>
            <w:pPr/>
            <w:r>
              <w:t xml:space="preserve">单团队包+单媒体：包体归因</w:t>
            </w:r>
          </w:p>
          <w:p>
            <w:pPr/>
            <w:r>
              <w:rPr>
                <w:color w:val="FE0300"/>
              </w:rPr>
              <w:t xml:space="preserve">单团队包+多媒体+官方共用包：包体归因  (自然量分摊逻辑调整：按项目消耗改为按包的消耗，避免 a 团队只投安卓，但分配了 iOS 量)</w:t>
            </w:r>
          </w:p>
          <w:p>
            <w:pPr/>
            <w:r>
              <w:rPr/>
              <w:t xml:space="preserve">单团队包+多媒体+联运共用包：点击归因</w:t>
            </w:r>
          </w:p>
          <w:p>
            <w:pPr/>
            <w:r>
              <w:t xml:space="preserve">多团队包+单媒体：点击归因+未知团队</w:t>
            </w:r>
          </w:p>
          <w:p>
            <w:pPr/>
            <w:r>
              <w:t xml:space="preserve">多团队包+多媒体+官方共用包：点击归因+自然量分摊</w:t>
            </w:r>
          </w:p>
          <w:p>
            <w:pPr/>
            <w:r>
              <w:t xml:space="preserve">多团队包+多媒体+联运共用包：点击归因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5、 筛选团队和媒体</w:t>
            </w:r>
          </w:p>
          <w:p>
            <w:pPr/>
            <w:r>
              <w:t xml:space="preserve">同上</w:t>
            </w:r>
          </w:p>
          <w:p>
            <w:pPr/>
            <w:r/>
          </w:p>
          <w:p>
            <w:pPr/>
            <w:r>
              <w:rPr>
                <w:b w:val="1"/>
              </w:rPr>
              <w:t xml:space="preserve">6、 筛选团队和自然量媒体</w:t>
            </w:r>
          </w:p>
          <w:p>
            <w:pPr/>
            <w:r>
              <w:t xml:space="preserve">单团队包+单媒体：无</w:t>
            </w:r>
          </w:p>
          <w:p>
            <w:pPr/>
            <w:r>
              <w:t xml:space="preserve">单团队包+多媒体+官方共用包：点击归因+自然量分摊</w:t>
            </w:r>
          </w:p>
          <w:p>
            <w:pPr/>
            <w:r>
              <w:t xml:space="preserve">单团队包+多媒体+联运共用包：无</w:t>
            </w:r>
          </w:p>
          <w:p>
            <w:pPr/>
            <w:r>
              <w:t xml:space="preserve">多团队包+单媒体：无</w:t>
            </w:r>
          </w:p>
          <w:p>
            <w:pPr/>
            <w:r>
              <w:t xml:space="preserve">多团队包+多媒体+官方共用包：点击归因+自然量分摊 (</w:t>
            </w:r>
            <w:r>
              <w:rPr>
                <w:color w:val="FE0300"/>
              </w:rPr>
              <w:t xml:space="preserve">自然量分摊是T+1时效的, 当天的自然量团队全部是'未知'</w:t>
            </w:r>
            <w:r>
              <w:t xml:space="preserve">)</w:t>
            </w:r>
          </w:p>
          <w:p>
            <w:pPr/>
            <w:r>
              <w:t xml:space="preserve">多团队包+多媒体+联运共用包：无</w:t>
            </w:r>
          </w:p>
        </w:tc>
        <w:tc>
          <w:tcPr>
            <w:tcW w:w="502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  <w:tc>
          <w:tcPr>
            <w:tcW w:w="1185" w:type="dxa"/>
            <w:tcBorders>
              <w:bottom w:val="single" w:sz="6" w:space="0" w:color="979A9B"/>
              <w:top w:val="single" w:sz="6" w:space="0" w:color="979A9B"/>
              <w:right w:val="single" w:sz="6" w:space="0" w:color="979A9B"/>
              <w:left w:val="single" w:sz="6" w:space="0" w:color="979A9B"/>
            </w:tcBorders>
            <w:shd w:val="clear" w:color="auto" w:fill="FFFFFF"/>
          </w:tcPr>
          <w:p>
            <w:pPr/>
            <w:r/>
          </w:p>
        </w:tc>
      </w:tr>
    </w:tbl>
    <w:p>
      <w:pPr/>
      <w:r/>
    </w:p>
    <w:sectPr>
      <w:pgSz w:w="23820" w:h="16905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3">
    <w:abstractNumId w:val="2"/>
  </w: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_quote">
    <w:name w:val="钉钉文档引用"/>
    <w:tcPr/>
    <w:pPr>
      <w:pBdr>
        <w:left w:val="single" w:sz="30" w:space="9" w:color="F0F0F0"/>
      </w:pBdr>
    </w:pPr>
    <w:rPr>
      <w:sz w:val="22"/>
      <w:rFonts w:ascii="微软雅黑" w:hAnsi="微软雅黑" w:cs="微软雅黑" w:eastAsia="微软雅黑"/>
      <w:color w:val="ADADAD"/>
      <w:kern w:val="0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8F8F8"/>
      </w:tcPr>
    </w:tblStylePr>
    <w:tblStylePr w:type="firstCol">
      <w:tcPr>
        <w:shd w:val="clear" w:color="" w:fill="F8F8F8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