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v3.14.3-插入需求-账户回本明细API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numPr>
          <w:ilvl w:val="0"/>
          <w:numId w:val="1"/>
        </w:numPr>
      </w:pPr>
      <w:r>
        <w:t xml:space="preserve">财务需要每次审批广告经费时，核验投放提交的数据是否正确，效率较低，希望直接获取智投的数据，更可信，也提高投放效率。</w:t>
      </w:r>
    </w:p>
    <w:p>
      <w:pPr>
        <w:numPr>
          <w:ilvl w:val="0"/>
          <w:numId w:val="1"/>
        </w:numPr>
      </w:pPr>
      <w:r>
        <w:t xml:space="preserve">原计划 Q4 财务提供折扣 api，智投获取合同解析的折扣信息后，实现自动折后计算，智投则暂时放弃折扣自动计算需求，改为数据共享需求。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可按项目、终端、代理拉取每个户的消耗、回本明细，财务可以自行计算各类 ROI、折后指标，以及后续需求拓展。</w:t>
      </w:r>
      <w:r>
        <w:rPr>
          <w:shd w:val="clear" w:color="auto" w:fill="FDBE3D"/>
        </w:rPr>
        <w:t xml:space="preserve">1 月 26 号前交付使用</w:t>
      </w:r>
      <w:r>
        <w:t xml:space="preserve">。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780"/>
        <w:gridCol w:w="1230"/>
        <w:gridCol w:w="2130"/>
        <w:gridCol w:w="5025"/>
        <w:gridCol w:w="1185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子模块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1005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数据共享</w:t>
            </w:r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账户回本明细 API 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按账户和日期提供账户的媒体、项目、代理信息，以及消耗、首月的每日付费金额。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tbl>
      <w:tblPr>
        <w:tblStyle w:val="TableGrid"/>
        <w:tblW w:w="0" w:type="auto"/>
      </w:tblPr>
      <w:tblGrid>
        <w:gridCol w:w="1740"/>
        <w:gridCol w:w="8055"/>
        <w:gridCol w:w="810"/>
      </w:tblGrid>
      <w:tr>
        <w:trPr>
          <w:trHeight w:val="630"/>
        </w:trPr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需求</w:t>
            </w:r>
          </w:p>
        </w:tc>
        <w:tc>
          <w:tcPr>
            <w:tcW w:w="805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说明</w:t>
            </w:r>
          </w:p>
        </w:tc>
        <w:tc>
          <w:tcPr>
            <w:tcW w:w="810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  <w:shd w:val="clear" w:color="auto" w:fill="7E7F7F"/>
              </w:rPr>
              <w:t xml:space="preserve">原型</w:t>
            </w:r>
          </w:p>
        </w:tc>
      </w:tr>
      <w:tr>
        <w:trPr>
          <w:trHeight w:val="1005"/>
        </w:trPr>
        <w:tc>
          <w:tcPr>
            <w:tcW w:w="17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账户回本明细 API </w:t>
            </w:r>
          </w:p>
        </w:tc>
        <w:tc>
          <w:tcPr>
            <w:tcW w:w="805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维度：</w:t>
            </w:r>
            <w:r>
              <w:t xml:space="preserve">账户+日期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属性：</w:t>
            </w:r>
            <w:r>
              <w:t xml:space="preserve">智投媒体 ID、媒体名称、项目 ID、项目名、智投代理商 ID、代理商名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指标：</w:t>
            </w:r>
            <w:r>
              <w:t xml:space="preserve">消耗、现金消耗、N日付费金额（1-31 ）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媒体：</w:t>
            </w:r>
            <w:r>
              <w:t xml:space="preserve">巨量、腾讯、快手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发行地区</w:t>
            </w:r>
            <w:r>
              <w:t xml:space="preserve">：国内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历史数据处理：</w:t>
            </w:r>
            <w:r>
              <w:t xml:space="preserve">无，仅增量更新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数据更新：</w:t>
            </w:r>
            <w:r>
              <w:t xml:space="preserve">每天23：59分拉取一次（提供的数据次日有订正，建议拉取多日）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数据范围：</w:t>
            </w:r>
            <w:r>
              <w:t xml:space="preserve">公司上线后的日期开始即可，每天的数据只拉取30天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对接密钥：</w:t>
            </w:r>
            <w:r>
              <w:t xml:space="preserve">略，后续如有更多数据共享需求，可再约定。</w:t>
            </w:r>
          </w:p>
        </w:tc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略</w:t>
            </w:r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