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v3.14.6-腾讯iOS融合归因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腾讯广告媒体要求iOS应用上报全部启动行为数据，才能创建广告。</w:t>
      </w:r>
    </w:p>
    <w:p>
      <w:pPr>
        <w:numPr>
          <w:ilvl w:val="0"/>
          <w:numId w:val="1"/>
        </w:numPr>
      </w:pPr>
      <w:r>
        <w:t xml:space="preserve">为了避免公司核心业务数据泄露，我们需要控制上报的行为数据，在广告业务和数据安全上取得平衡。</w:t>
      </w:r>
    </w:p>
    <w:p>
      <w:pPr>
        <w:numPr>
          <w:ilvl w:val="0"/>
          <w:numId w:val="1"/>
        </w:numPr>
      </w:pPr>
      <w:r>
        <w:t xml:space="preserve">媒体有多种检查机制，我们需要在和腾讯广告的交互上全链路统一控制。</w:t>
      </w:r>
    </w:p>
    <w:p>
      <w:pPr>
        <w:ind/>
      </w:pP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ind/>
      </w:pPr>
      <w:r>
        <w:t xml:space="preserve">对接腾讯iOS融合归因，支持三国杀移动版和一将投腾讯广告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1230"/>
        <w:gridCol w:w="5235"/>
        <w:gridCol w:w="133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回推策略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腾讯广告按策略控制和游戏客户端交互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API回推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腾讯广告支持指定概率回推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新增获取腾讯的融合归因结果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4</w:t>
            </w:r>
          </w:p>
        </w:tc>
        <w:tc>
          <w:tcPr>
            <w:tcW w:w="12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用户细查</w:t>
            </w:r>
          </w:p>
        </w:tc>
        <w:tc>
          <w:tcPr>
            <w:tcW w:w="52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增加字段：腾讯归因结果（本版本删除）</w:t>
            </w:r>
          </w:p>
        </w:tc>
        <w:tc>
          <w:tcPr>
            <w:tcW w:w="1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P2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1、融合归因流程图</w:t>
      </w:r>
    </w:p>
    <w:p>
      <w:hyperlink r:id="rId4">
        <w:r>
          <w:rPr>
            <w:rStyle w:val="hyperlink"/>
          </w:rPr>
          <w:t xml:space="preserve">请至钉钉文档查看「白板」</w:t>
        </w:r>
      </w:hyperlink>
      <w:r/>
    </w:p>
    <w:p>
      <w:pPr>
        <w:numPr>
          <w:ilvl w:val="0"/>
          <w:numId w:val="2"/>
        </w:numPr>
      </w:pPr>
      <w:r>
        <w:t xml:space="preserve">注册、付费要等融合归因完成后再进行回推</w:t>
      </w:r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2、融合归因配置页面</w:t>
      </w:r>
    </w:p>
    <w:p>
      <w:pPr/>
      <w:r>
        <w:t xml:space="preserve">新增腾讯融合归因设置页面（本期可不做前端页面）</w:t>
      </w:r>
    </w:p>
    <w:p>
      <w:pPr/>
      <w:r/>
      <w:r>
        <w:drawing>
          <wp:inline distT="0" distB="0" distL="0" distR="0">
            <wp:extent cx="7124700" cy="5187314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51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五、项目对接节点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03"/>
        <w:gridCol w:w="4790"/>
        <w:gridCol w:w="4025"/>
      </w:tblGrid>
      <w:tr>
        <w:trPr>
          <w:trHeight w:val="0"/>
        </w:trPr>
        <w:tc>
          <w:tcPr>
            <w:tcW w:w="2403" w:type="dxa"/>
            <w:vAlign w:val="center"/>
          </w:tcPr>
          <w:p>
            <w:pPr/>
            <w:r>
              <w:t xml:space="preserve">项目</w:t>
            </w:r>
          </w:p>
        </w:tc>
        <w:tc>
          <w:tcPr>
            <w:tcW w:w="4790" w:type="dxa"/>
            <w:vAlign w:val="center"/>
          </w:tcPr>
          <w:p>
            <w:pPr/>
            <w:r>
              <w:t xml:space="preserve">事项</w:t>
            </w:r>
          </w:p>
        </w:tc>
        <w:tc>
          <w:tcPr>
            <w:tcW w:w="4025" w:type="dxa"/>
            <w:vAlign w:val="center"/>
          </w:tcPr>
          <w:p>
            <w:pPr/>
            <w:r>
              <w:t xml:space="preserve">计划结束时间</w:t>
            </w:r>
          </w:p>
        </w:tc>
      </w:tr>
      <w:tr>
        <w:trPr>
          <w:trHeight w:val="0"/>
        </w:trPr>
        <w:tc>
          <w:tcPr>
            <w:tcW w:w="2403" w:type="dxa"/>
            <w:vMerge w:val="restart"/>
            <w:vAlign w:val="center"/>
          </w:tcPr>
          <w:p>
            <w:pPr/>
            <w:r>
              <w:t xml:space="preserve">三国杀移动版</w:t>
            </w:r>
          </w:p>
          <w:p>
            <w:pPr/>
            <w:r>
              <w:t xml:space="preserve">三国杀：一将成名</w:t>
            </w:r>
          </w:p>
        </w:tc>
        <w:tc>
          <w:tcPr>
            <w:tcW w:w="4790" w:type="dxa"/>
            <w:vAlign w:val="center"/>
          </w:tcPr>
          <w:p>
            <w:pPr/>
            <w:r>
              <w:t xml:space="preserve">智投对接API</w:t>
            </w:r>
          </w:p>
        </w:tc>
        <w:tc>
          <w:tcPr>
            <w:tcW w:w="4025" w:type="dxa"/>
            <w:vAlign w:val="center"/>
          </w:tcPr>
          <w:p>
            <w:pPr/>
            <w:r>
              <w:t xml:space="preserve">12月26号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4790" w:type="dxa"/>
            <w:vAlign w:val="center"/>
          </w:tcPr>
          <w:p>
            <w:pPr/>
            <w:r>
              <w:t xml:space="preserve">研发对接</w:t>
            </w:r>
          </w:p>
        </w:tc>
        <w:tc>
          <w:tcPr>
            <w:tcW w:w="4025" w:type="dxa"/>
            <w:vAlign w:val="center"/>
            <w:shd w:val="clear" w:color="auto" w:fill="FFFFFF"/>
          </w:tcPr>
          <w:p>
            <w:pPr/>
            <w:r>
              <w:t xml:space="preserve">12月30号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4790" w:type="dxa"/>
            <w:vAlign w:val="center"/>
          </w:tcPr>
          <w:p>
            <w:pPr/>
            <w:r>
              <w:t xml:space="preserve">对接测试</w:t>
            </w:r>
          </w:p>
        </w:tc>
        <w:tc>
          <w:tcPr>
            <w:tcW w:w="4025" w:type="dxa"/>
            <w:vAlign w:val="center"/>
            <w:shd w:val="clear" w:color="auto" w:fill="FFFFFF"/>
          </w:tcPr>
          <w:p>
            <w:pPr/>
            <w:r>
              <w:t xml:space="preserve">12月30号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4790" w:type="dxa"/>
            <w:vAlign w:val="center"/>
          </w:tcPr>
          <w:p>
            <w:pPr/>
            <w:r>
              <w:t xml:space="preserve">出包提审</w:t>
            </w:r>
          </w:p>
        </w:tc>
        <w:tc>
          <w:tcPr>
            <w:tcW w:w="4025" w:type="dxa"/>
            <w:vAlign w:val="center"/>
            <w:shd w:val="clear" w:color="auto" w:fill="EE7268"/>
          </w:tcPr>
          <w:p>
            <w:pPr/>
            <w:r>
              <w:t xml:space="preserve">1月4号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4790" w:type="dxa"/>
            <w:vAlign w:val="center"/>
          </w:tcPr>
          <w:p>
            <w:pPr/>
            <w:r>
              <w:t xml:space="preserve">智投腾讯融合归因控制版上线</w:t>
            </w:r>
          </w:p>
        </w:tc>
        <w:tc>
          <w:tcPr>
            <w:tcW w:w="4025" w:type="dxa"/>
            <w:vAlign w:val="center"/>
            <w:shd w:val="clear" w:color="auto" w:fill="EE7268"/>
          </w:tcPr>
          <w:p>
            <w:pPr/>
            <w:r>
              <w:t xml:space="preserve">1月8号（晚7点）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4790" w:type="dxa"/>
            <w:vAlign w:val="center"/>
          </w:tcPr>
          <w:p>
            <w:pPr/>
            <w:r>
              <w:t xml:space="preserve">腾讯联调+创建新广告</w:t>
            </w:r>
          </w:p>
        </w:tc>
        <w:tc>
          <w:tcPr>
            <w:tcW w:w="4025" w:type="dxa"/>
            <w:vAlign w:val="center"/>
            <w:shd w:val="clear" w:color="auto" w:fill="EE7268"/>
          </w:tcPr>
          <w:p>
            <w:pPr/>
            <w:r>
              <w:t xml:space="preserve">1月9号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六、</w:t>
      </w:r>
      <w:r>
        <w:t xml:space="preserve">腾讯融合归因SDK接入说明</w:t>
      </w:r>
    </w:p>
    <w:p>
      <w:pPr/>
      <w:r>
        <w:t xml:space="preserve">腾讯融合归因SDK接入说明：</w:t>
      </w:r>
      <w:hyperlink r:id="rId6">
        <w:r>
          <w:rPr>
            <w:rStyle w:val="hyperlink"/>
          </w:rPr>
          <w:t xml:space="preserve">https://doc.weixin.qq.com/doc/w3_AQAARwbUAOMCNih0bq7JJRsiVdGkk?scode=AJEAIQdfAAo31EjRaCAVMAngbSACY</w:t>
        </w:r>
      </w:hyperlink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6DdoLOt4mv5p6Ad9nL1?iframeQuery=anchorId%253DX02meaqnuqhhspzrzs0urk" TargetMode="External" />
  <Relationship Id="rId5" Type="http://schemas.openxmlformats.org/officeDocument/2006/relationships/image" Target="media/image1.png" />
  <Relationship Id="rId6" Type="http://schemas.openxmlformats.org/officeDocument/2006/relationships/hyperlink" Target="https://doc.weixin.qq.com/doc/w3_AQAARwbUAOMCNih0bq7JJRsiVdGkk?scode=AJEAIQdfAAo31EjRaCAVMAngbSACY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