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智投-用户手册-3.14.16</w:t>
      </w:r>
    </w:p>
    <w:p>
      <w:pPr/>
      <w:r>
        <w:rPr>
          <w:sz w:val="24"/>
        </w:rPr>
        <w:t xml:space="preserve">面向对象：各发行部门、优化师、采购及需要查看投放数据的同事 </w:t>
        <w:br w:type="textWrapping"/>
        <w:t xml:space="preserve">上线范围：代理折扣维护、广告账户授权、报表问数与报表筛选能力</w:t>
      </w:r>
    </w:p>
    <w:p>
      <w:pPr>
        <w:pStyle w:val="dingding-heading2"/>
      </w:pPr>
      <w:r>
        <w:rPr>
          <w:b w:val="1"/>
        </w:rPr>
        <w:t xml:space="preserve">一、本次上线变化总览</w:t>
      </w:r>
    </w:p>
    <w:p>
      <w:pPr/>
      <w:r>
        <w:rPr>
          <w:sz w:val="24"/>
        </w:rPr>
        <w:t xml:space="preserve">本次上线主要有两类变化：</w:t>
      </w:r>
    </w:p>
    <w:p>
      <w:pPr>
        <w:numPr>
          <w:ilvl w:val="0"/>
          <w:numId w:val="1"/>
        </w:numPr>
      </w:pPr>
      <w:r>
        <w:rPr>
          <w:sz w:val="24"/>
        </w:rPr>
        <w:t xml:space="preserve">代理折扣和广告账户授权信息更完整：在维护代理商折扣、绑定广告账户时，新增了付款模式、结算账期等信息，便于按不同结算政策计算折后消耗。</w:t>
      </w:r>
    </w:p>
    <w:p>
      <w:pPr>
        <w:numPr>
          <w:ilvl w:val="0"/>
          <w:numId w:val="1"/>
        </w:numPr>
      </w:pPr>
      <w:r>
        <w:rPr>
          <w:sz w:val="24"/>
        </w:rPr>
        <w:t xml:space="preserve">报表问数能力更丰富：更多报表可以在魔方问数中直接提问查询，多个报表页面也增加了优化师筛选，方便按负责人查看投放表现。</w:t>
      </w:r>
    </w:p>
    <w:p>
      <w:pPr>
        <w:pStyle w:val="dingding-heading2"/>
      </w:pPr>
      <w:r>
        <w:rPr>
          <w:b w:val="1"/>
        </w:rPr>
        <w:t xml:space="preserve">二、代理折扣维护有什么变化</w:t>
      </w:r>
    </w:p>
    <w:p>
      <w:pPr>
        <w:pStyle w:val="dingding-heading3"/>
      </w:pPr>
      <w:r>
        <w:rPr>
          <w:b w:val="1"/>
        </w:rPr>
        <w:t xml:space="preserve">1. 新增需要维护的信息</w:t>
      </w:r>
    </w:p>
    <w:p>
      <w:pPr/>
      <w:r>
        <w:rPr>
          <w:sz w:val="24"/>
        </w:rPr>
        <w:t xml:space="preserve">进入“资产管理 - 代理商管理”后，新增或编辑代理商折扣时，需要关注以下信息：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信息</w:t>
            </w:r>
          </w:p>
        </w:tc>
        <w:tc>
          <w:tcPr>
            <w:tcW w:w="487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媒体名称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选择该折扣适用的媒体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投放模式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区分自投、代投等投放方式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付款模式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可选预付、垫付、无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结算账期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可选 1 个月、2 个月、3 个月、无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日期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设置折扣生效的开始日期和结束日期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折扣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填写对应折扣比例</w:t>
            </w:r>
          </w:p>
        </w:tc>
      </w:tr>
    </w:tbl>
    <w:p>
      <w:pPr>
        <w:pStyle w:val="dingding-heading3"/>
      </w:pPr>
      <w:r>
        <w:rPr>
          <w:b w:val="1"/>
        </w:rPr>
        <w:t xml:space="preserve">2. 填写规则</w:t>
      </w:r>
    </w:p>
    <w:p>
      <w:pPr>
        <w:numPr>
          <w:ilvl w:val="0"/>
          <w:numId w:val="2"/>
        </w:numPr>
      </w:pPr>
      <w:r>
        <w:rPr>
          <w:sz w:val="24"/>
        </w:rPr>
        <w:t xml:space="preserve">付款模式选择“预付”时，页面不需要再填写结算账期。</w:t>
      </w:r>
    </w:p>
    <w:p>
      <w:pPr>
        <w:numPr>
          <w:ilvl w:val="0"/>
          <w:numId w:val="2"/>
        </w:numPr>
      </w:pPr>
      <w:r>
        <w:rPr>
          <w:sz w:val="24"/>
        </w:rPr>
        <w:t xml:space="preserve">付款模式选择“垫付”时，请按实际政策选择结算账期。</w:t>
      </w:r>
    </w:p>
    <w:p>
      <w:pPr>
        <w:numPr>
          <w:ilvl w:val="0"/>
          <w:numId w:val="2"/>
        </w:numPr>
      </w:pPr>
      <w:r>
        <w:rPr>
          <w:sz w:val="24"/>
        </w:rPr>
        <w:t xml:space="preserve">同一个代理商在相同媒体、投放模式、付款模式、结算账期和日期范围下，不应重复维护同一条折扣。</w:t>
      </w:r>
    </w:p>
    <w:p>
      <w:pPr>
        <w:numPr>
          <w:ilvl w:val="0"/>
          <w:numId w:val="2"/>
        </w:numPr>
      </w:pPr>
      <w:r>
        <w:rPr>
          <w:sz w:val="24"/>
        </w:rPr>
        <w:t xml:space="preserve">折扣设置完成后，会影响后续折后消耗计算，请确认日期范围和折扣比例无误后再提交。</w:t>
      </w:r>
    </w:p>
    <w:p>
      <w:pPr>
        <w:pStyle w:val="dingding-heading3"/>
      </w:pPr>
      <w:r>
        <w:rPr>
          <w:b w:val="1"/>
        </w:rPr>
        <w:t xml:space="preserve">3. 对业务同事的影响</w:t>
      </w:r>
    </w:p>
    <w:p>
      <w:pPr>
        <w:numPr>
          <w:ilvl w:val="0"/>
          <w:numId w:val="3"/>
        </w:numPr>
      </w:pPr>
      <w:r>
        <w:rPr>
          <w:sz w:val="24"/>
        </w:rPr>
        <w:t xml:space="preserve">采购同事录入代理折扣时，需要补齐付款模式和结算账期。</w:t>
      </w:r>
    </w:p>
    <w:p>
      <w:pPr>
        <w:numPr>
          <w:ilvl w:val="0"/>
          <w:numId w:val="3"/>
        </w:numPr>
      </w:pPr>
      <w:r>
        <w:rPr>
          <w:sz w:val="24"/>
        </w:rPr>
        <w:t xml:space="preserve">优化师或发行同事查看投放成本时，系统会按更细的结算政策匹配折扣。</w:t>
      </w:r>
    </w:p>
    <w:p>
      <w:pPr>
        <w:numPr>
          <w:ilvl w:val="0"/>
          <w:numId w:val="3"/>
        </w:numPr>
      </w:pPr>
      <w:r>
        <w:rPr>
          <w:sz w:val="24"/>
        </w:rPr>
        <w:t xml:space="preserve">对于预付和垫付，折后消耗的计算口径一致：按账面消耗结合返点折算。</w:t>
      </w:r>
    </w:p>
    <w:p>
      <w:pPr>
        <w:pStyle w:val="dingding-heading2"/>
      </w:pPr>
      <w:r>
        <w:rPr>
          <w:b w:val="1"/>
        </w:rPr>
        <w:t xml:space="preserve">三、广告账户授权有什么变化</w:t>
      </w:r>
    </w:p>
    <w:p>
      <w:pPr>
        <w:pStyle w:val="dingding-heading3"/>
      </w:pPr>
      <w:r>
        <w:rPr>
          <w:b w:val="1"/>
        </w:rPr>
        <w:t xml:space="preserve">1. 绑定代理商时需要补充更多信息</w:t>
      </w:r>
    </w:p>
    <w:p>
      <w:pPr/>
      <w:r>
        <w:rPr>
          <w:sz w:val="24"/>
        </w:rPr>
        <w:t xml:space="preserve">进入“资产管理 - 广告账户授权”，在授权或绑定投放账户时，页面会要求选择：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信息</w:t>
            </w:r>
          </w:p>
        </w:tc>
        <w:tc>
          <w:tcPr>
            <w:tcW w:w="487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项目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账户所属项目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代理商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当前广告账户绑定的代理商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代理模式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自投或代投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付款模式</w:t>
            </w:r>
          </w:p>
        </w:tc>
        <w:tc>
          <w:tcPr>
            <w:tcW w:w="4875" w:type="dxa"/>
          </w:tcPr>
          <w:p>
            <w:pPr/>
            <w:r>
              <w:rPr>
                <w:sz w:val="24"/>
              </w:rPr>
              <w:t xml:space="preserve">预付、垫付或无</w:t>
            </w:r>
          </w:p>
        </w:tc>
      </w:tr>
    </w:tbl>
    <w:p>
      <w:pPr/>
      <w:r>
        <w:rPr>
          <w:sz w:val="24"/>
        </w:rPr>
        <w:t xml:space="preserve">部分账户相关信息会继续用于后续折扣匹配和报表计算，请在授权时按真实业务关系选择。</w:t>
      </w:r>
    </w:p>
    <w:p>
      <w:pPr>
        <w:pStyle w:val="dingding-heading3"/>
      </w:pPr>
      <w:r>
        <w:rPr>
          <w:b w:val="1"/>
        </w:rPr>
        <w:t xml:space="preserve">2. 操作建议</w:t>
      </w:r>
    </w:p>
    <w:p>
      <w:pPr>
        <w:numPr>
          <w:ilvl w:val="0"/>
          <w:numId w:val="4"/>
        </w:numPr>
      </w:pPr>
      <w:r>
        <w:rPr>
          <w:sz w:val="24"/>
        </w:rPr>
        <w:t xml:space="preserve">新授权账户请先确认项目、代理商和付款方式，再提交授权。</w:t>
      </w:r>
    </w:p>
    <w:p>
      <w:pPr>
        <w:numPr>
          <w:ilvl w:val="0"/>
          <w:numId w:val="4"/>
        </w:numPr>
      </w:pPr>
      <w:r>
        <w:rPr>
          <w:sz w:val="24"/>
        </w:rPr>
        <w:t xml:space="preserve">如果账户已授权但代理商或付款方式有变更，请及时更新，避免后续成本口径不一致。</w:t>
      </w:r>
    </w:p>
    <w:p>
      <w:pPr>
        <w:numPr>
          <w:ilvl w:val="0"/>
          <w:numId w:val="4"/>
        </w:numPr>
      </w:pPr>
      <w:r>
        <w:rPr>
          <w:sz w:val="24"/>
        </w:rPr>
        <w:t xml:space="preserve">暂时无法确认代理商时，不建议随意选择；应先与采购或投放负责人确认。</w:t>
      </w:r>
    </w:p>
    <w:p>
      <w:pPr>
        <w:pStyle w:val="dingding-heading2"/>
      </w:pPr>
      <w:r>
        <w:rPr>
          <w:b w:val="1"/>
        </w:rPr>
        <w:t xml:space="preserve">四、魔方问数新增了哪些报表能力</w:t>
      </w:r>
    </w:p>
    <w:p>
      <w:pPr/>
      <w:r>
        <w:rPr>
          <w:sz w:val="24"/>
        </w:rPr>
        <w:t xml:space="preserve">本次上线后，更多报表可以通过魔方问数查询。发行部门同事可以直接用自然语言提问，例如“看昨天某项目的活动表现”“查某优化师最近 7 天的素材消耗和激活成本”。</w:t>
      </w:r>
    </w:p>
    <w:p>
      <w:pPr>
        <w:pStyle w:val="dingding-heading3"/>
      </w:pPr>
      <w:r>
        <w:rPr>
          <w:b w:val="1"/>
        </w:rPr>
        <w:t xml:space="preserve">1. 可查询的报表范围</w:t>
      </w:r>
    </w:p>
    <w:tbl>
      <w:tblPr>
        <w:tblStyle w:val="TableGrid"/>
        <w:tblW w:w="0" w:type="auto"/>
      </w:tblPr>
      <w:tblGrid>
        <w:gridCol w:w="4875"/>
        <w:gridCol w:w="5355"/>
      </w:tblGrid>
      <w:tr>
        <w:trPr>
          <w:trHeight w:val="0"/>
        </w:trPr>
        <w:tc>
          <w:tcPr>
            <w:tcW w:w="487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分类</w:t>
            </w:r>
          </w:p>
        </w:tc>
        <w:tc>
          <w:tcPr>
            <w:tcW w:w="5355" w:type="dxa"/>
          </w:tcPr>
          <w:p>
            <w:pPr>
              <w:jc w:val="center"/>
            </w:pPr>
            <w:r>
              <w:rPr>
                <w:sz w:val="24"/>
                <w:b w:val="1"/>
              </w:rPr>
              <w:t xml:space="preserve">报表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核心报表</w:t>
            </w:r>
          </w:p>
        </w:tc>
        <w:tc>
          <w:tcPr>
            <w:tcW w:w="5355" w:type="dxa"/>
          </w:tcPr>
          <w:p>
            <w:pPr/>
            <w:r>
              <w:rPr>
                <w:sz w:val="24"/>
              </w:rPr>
              <w:t xml:space="preserve">概览、实时数据、日周月报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分析报表</w:t>
            </w:r>
          </w:p>
        </w:tc>
        <w:tc>
          <w:tcPr>
            <w:tcW w:w="5355" w:type="dxa"/>
          </w:tcPr>
          <w:p>
            <w:pPr/>
            <w:r>
              <w:rPr>
                <w:sz w:val="24"/>
              </w:rPr>
              <w:t xml:space="preserve">ROI 分析、LTV 分析、留存分析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素材与账户</w:t>
            </w:r>
          </w:p>
        </w:tc>
        <w:tc>
          <w:tcPr>
            <w:tcW w:w="5355" w:type="dxa"/>
          </w:tcPr>
          <w:p>
            <w:pPr/>
            <w:r>
              <w:rPr>
                <w:sz w:val="24"/>
              </w:rPr>
              <w:t xml:space="preserve">广告素材、账户报表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新增报表</w:t>
            </w:r>
          </w:p>
        </w:tc>
        <w:tc>
          <w:tcPr>
            <w:tcW w:w="5355" w:type="dxa"/>
          </w:tcPr>
          <w:p>
            <w:pPr/>
            <w:r>
              <w:rPr>
                <w:sz w:val="24"/>
              </w:rPr>
              <w:t xml:space="preserve">活动报表、包体报表、直播报表、关键词报表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sz w:val="24"/>
              </w:rPr>
              <w:t xml:space="preserve">回流报表</w:t>
            </w:r>
          </w:p>
        </w:tc>
        <w:tc>
          <w:tcPr>
            <w:tcW w:w="5355" w:type="dxa"/>
          </w:tcPr>
          <w:p>
            <w:pPr/>
            <w:r>
              <w:rPr>
                <w:sz w:val="24"/>
              </w:rPr>
              <w:t xml:space="preserve">回流数据、回流 LTV、回流留存</w:t>
            </w:r>
          </w:p>
        </w:tc>
      </w:tr>
    </w:tbl>
    <w:p>
      <w:pPr/>
      <w:r>
        <w:rPr>
          <w:sz w:val="24"/>
        </w:rPr>
        <w:t xml:space="preserve">说明：“回流 ROI”本次按最新口径调整为“回流留存”。</w:t>
      </w:r>
    </w:p>
    <w:p>
      <w:pPr>
        <w:pStyle w:val="dingding-heading3"/>
      </w:pPr>
      <w:r>
        <w:rPr>
          <w:b w:val="1"/>
        </w:rPr>
        <w:t xml:space="preserve">2. 推荐提问方式</w:t>
      </w:r>
    </w:p>
    <w:p>
      <w:pPr/>
      <w:r>
        <w:rPr>
          <w:sz w:val="24"/>
        </w:rPr>
        <w:t xml:space="preserve">可以按下面的方式提问：</w:t>
      </w:r>
    </w:p>
    <w:p>
      <w:pPr>
        <w:numPr>
          <w:ilvl w:val="0"/>
          <w:numId w:val="5"/>
        </w:numPr>
      </w:pPr>
      <w:r>
        <w:rPr>
          <w:sz w:val="24"/>
        </w:rPr>
        <w:t xml:space="preserve">“帮我看昨天 XX 项目的活动报表，按消耗最高排序。”</w:t>
      </w:r>
    </w:p>
    <w:p>
      <w:pPr>
        <w:numPr>
          <w:ilvl w:val="0"/>
          <w:numId w:val="5"/>
        </w:numPr>
      </w:pPr>
      <w:r>
        <w:rPr>
          <w:sz w:val="24"/>
        </w:rPr>
        <w:t xml:space="preserve">“查一下最近 7 天 XX 优化师的广告素材表现。”</w:t>
      </w:r>
    </w:p>
    <w:p>
      <w:pPr>
        <w:numPr>
          <w:ilvl w:val="0"/>
          <w:numId w:val="5"/>
        </w:numPr>
      </w:pPr>
      <w:r>
        <w:rPr>
          <w:sz w:val="24"/>
        </w:rPr>
        <w:t xml:space="preserve">“看 XX 项目本周 ROI 分析，展示 7 日付费次数和 LTV 系数。”</w:t>
      </w:r>
    </w:p>
    <w:p>
      <w:pPr>
        <w:numPr>
          <w:ilvl w:val="0"/>
          <w:numId w:val="5"/>
        </w:numPr>
      </w:pPr>
      <w:r>
        <w:rPr>
          <w:sz w:val="24"/>
        </w:rPr>
        <w:t xml:space="preserve">“查 XX 包体最近 3 天的激活成本和付费情况。”</w:t>
      </w:r>
    </w:p>
    <w:p>
      <w:pPr>
        <w:numPr>
          <w:ilvl w:val="0"/>
          <w:numId w:val="5"/>
        </w:numPr>
      </w:pPr>
      <w:r>
        <w:rPr>
          <w:sz w:val="24"/>
        </w:rPr>
        <w:t xml:space="preserve">“看昨天直播报表里消耗最高的前 5 条。”</w:t>
      </w:r>
    </w:p>
    <w:p>
      <w:pPr>
        <w:numPr>
          <w:ilvl w:val="0"/>
          <w:numId w:val="5"/>
        </w:numPr>
      </w:pPr>
      <w:r>
        <w:rPr>
          <w:sz w:val="24"/>
        </w:rPr>
        <w:t xml:space="preserve">“查某项目最近 7 天回流留存情况。”</w:t>
      </w:r>
    </w:p>
    <w:p>
      <w:pPr>
        <w:pStyle w:val="dingding-heading3"/>
      </w:pPr>
      <w:r>
        <w:rPr>
          <w:b w:val="1"/>
        </w:rPr>
        <w:t xml:space="preserve">3. 查询结果展示限制</w:t>
      </w:r>
    </w:p>
    <w:p>
      <w:pPr/>
      <w:r>
        <w:rPr>
          <w:sz w:val="24"/>
        </w:rPr>
        <w:t xml:space="preserve">为了保证查询速度和结果可读性，系统会默认控制展示数量：</w:t>
      </w:r>
    </w:p>
    <w:p>
      <w:pPr>
        <w:numPr>
          <w:ilvl w:val="0"/>
          <w:numId w:val="6"/>
        </w:numPr>
      </w:pPr>
      <w:r>
        <w:rPr>
          <w:sz w:val="24"/>
        </w:rPr>
        <w:t xml:space="preserve">明细类结果默认优先展示前 100 条。</w:t>
      </w:r>
    </w:p>
    <w:p>
      <w:pPr>
        <w:numPr>
          <w:ilvl w:val="0"/>
          <w:numId w:val="6"/>
        </w:numPr>
      </w:pPr>
      <w:r>
        <w:rPr>
          <w:sz w:val="24"/>
        </w:rPr>
        <w:t xml:space="preserve">多选筛选项最多选择 100 个。</w:t>
      </w:r>
    </w:p>
    <w:p>
      <w:pPr>
        <w:numPr>
          <w:ilvl w:val="0"/>
          <w:numId w:val="6"/>
        </w:numPr>
      </w:pPr>
      <w:r>
        <w:rPr>
          <w:sz w:val="24"/>
        </w:rPr>
        <w:t xml:space="preserve">如果结果太多，建议增加项目、日期、媒体、优化师等筛选条件。</w:t>
      </w:r>
    </w:p>
    <w:p>
      <w:pPr>
        <w:numPr>
          <w:ilvl w:val="0"/>
          <w:numId w:val="6"/>
        </w:numPr>
      </w:pPr>
      <w:r>
        <w:rPr>
          <w:sz w:val="24"/>
        </w:rPr>
        <w:t xml:space="preserve">如果想看整体情况，建议先问“汇总”，再逐步追问明细。</w:t>
      </w:r>
    </w:p>
    <w:p>
      <w:pPr>
        <w:pStyle w:val="dingding-heading2"/>
      </w:pPr>
      <w:r>
        <w:rPr>
          <w:b w:val="1"/>
        </w:rPr>
        <w:t xml:space="preserve">五、哪些页面新增了优化师筛选</w:t>
      </w:r>
    </w:p>
    <w:p>
      <w:pPr/>
      <w:r>
        <w:rPr>
          <w:sz w:val="24"/>
        </w:rPr>
        <w:t xml:space="preserve">本次多个报表支持按优化师查看数据，方便发行部门按负责人跟进投放表现。</w:t>
      </w:r>
    </w:p>
    <w:p>
      <w:pPr>
        <w:pStyle w:val="dingding-heading3"/>
      </w:pPr>
      <w:r>
        <w:rPr>
          <w:b w:val="1"/>
        </w:rPr>
        <w:t xml:space="preserve">1. 支持优化师筛选的报表</w:t>
      </w:r>
    </w:p>
    <w:p>
      <w:pPr>
        <w:numPr>
          <w:ilvl w:val="0"/>
          <w:numId w:val="7"/>
        </w:numPr>
      </w:pPr>
      <w:r>
        <w:rPr>
          <w:sz w:val="24"/>
        </w:rPr>
        <w:t xml:space="preserve">日周月报</w:t>
      </w:r>
    </w:p>
    <w:p>
      <w:pPr>
        <w:numPr>
          <w:ilvl w:val="0"/>
          <w:numId w:val="7"/>
        </w:numPr>
      </w:pPr>
      <w:r>
        <w:rPr>
          <w:sz w:val="24"/>
        </w:rPr>
        <w:t xml:space="preserve">广告素材</w:t>
      </w:r>
    </w:p>
    <w:p>
      <w:pPr>
        <w:numPr>
          <w:ilvl w:val="0"/>
          <w:numId w:val="7"/>
        </w:numPr>
      </w:pPr>
      <w:r>
        <w:rPr>
          <w:sz w:val="24"/>
        </w:rPr>
        <w:t xml:space="preserve">ROI 分析</w:t>
      </w:r>
    </w:p>
    <w:p>
      <w:pPr>
        <w:numPr>
          <w:ilvl w:val="0"/>
          <w:numId w:val="7"/>
        </w:numPr>
      </w:pPr>
      <w:r>
        <w:rPr>
          <w:sz w:val="24"/>
        </w:rPr>
        <w:t xml:space="preserve">LTV 分析</w:t>
      </w:r>
    </w:p>
    <w:p>
      <w:pPr>
        <w:numPr>
          <w:ilvl w:val="0"/>
          <w:numId w:val="7"/>
        </w:numPr>
      </w:pPr>
      <w:r>
        <w:rPr>
          <w:sz w:val="24"/>
        </w:rPr>
        <w:t xml:space="preserve">留存分析</w:t>
      </w:r>
    </w:p>
    <w:p>
      <w:pPr>
        <w:numPr>
          <w:ilvl w:val="0"/>
          <w:numId w:val="7"/>
        </w:numPr>
      </w:pPr>
      <w:r>
        <w:rPr>
          <w:sz w:val="24"/>
        </w:rPr>
        <w:t xml:space="preserve">活动报表</w:t>
      </w:r>
    </w:p>
    <w:p>
      <w:pPr>
        <w:numPr>
          <w:ilvl w:val="0"/>
          <w:numId w:val="7"/>
        </w:numPr>
      </w:pPr>
      <w:r>
        <w:rPr>
          <w:sz w:val="24"/>
        </w:rPr>
        <w:t xml:space="preserve">包体报表</w:t>
      </w:r>
    </w:p>
    <w:p>
      <w:pPr>
        <w:numPr>
          <w:ilvl w:val="0"/>
          <w:numId w:val="7"/>
        </w:numPr>
      </w:pPr>
      <w:r>
        <w:rPr>
          <w:sz w:val="24"/>
        </w:rPr>
        <w:t xml:space="preserve">直播报表</w:t>
      </w:r>
    </w:p>
    <w:p>
      <w:pPr>
        <w:numPr>
          <w:ilvl w:val="0"/>
          <w:numId w:val="7"/>
        </w:numPr>
      </w:pPr>
      <w:r>
        <w:rPr>
          <w:sz w:val="24"/>
        </w:rPr>
        <w:t xml:space="preserve">关键词报表</w:t>
      </w:r>
    </w:p>
    <w:p>
      <w:pPr>
        <w:pStyle w:val="dingding-heading3"/>
      </w:pPr>
      <w:r>
        <w:rPr>
          <w:b w:val="1"/>
        </w:rPr>
        <w:t xml:space="preserve">2. 暂不支持优化师筛选的报表</w:t>
      </w:r>
    </w:p>
    <w:p>
      <w:pPr>
        <w:numPr>
          <w:ilvl w:val="0"/>
          <w:numId w:val="8"/>
        </w:numPr>
      </w:pPr>
      <w:r>
        <w:rPr>
          <w:sz w:val="24"/>
        </w:rPr>
        <w:t xml:space="preserve">实时数据</w:t>
      </w:r>
    </w:p>
    <w:p>
      <w:pPr>
        <w:numPr>
          <w:ilvl w:val="0"/>
          <w:numId w:val="8"/>
        </w:numPr>
      </w:pPr>
      <w:r>
        <w:rPr>
          <w:sz w:val="24"/>
        </w:rPr>
        <w:t xml:space="preserve">回流数据</w:t>
      </w:r>
    </w:p>
    <w:p>
      <w:pPr>
        <w:numPr>
          <w:ilvl w:val="0"/>
          <w:numId w:val="8"/>
        </w:numPr>
      </w:pPr>
      <w:r>
        <w:rPr>
          <w:sz w:val="24"/>
        </w:rPr>
        <w:t xml:space="preserve">回流 LTV</w:t>
      </w:r>
    </w:p>
    <w:p>
      <w:pPr>
        <w:numPr>
          <w:ilvl w:val="0"/>
          <w:numId w:val="8"/>
        </w:numPr>
      </w:pPr>
      <w:r>
        <w:rPr>
          <w:sz w:val="24"/>
        </w:rPr>
        <w:t xml:space="preserve">回流留存</w:t>
      </w:r>
    </w:p>
    <w:p>
      <w:pPr/>
      <w:r>
        <w:rPr>
          <w:sz w:val="24"/>
        </w:rPr>
        <w:t xml:space="preserve">如果筛选项里没有看到某个优化师，通常表示当前查询范围内没有匹配到可识别的数据。</w:t>
      </w:r>
    </w:p>
    <w:p>
      <w:pPr>
        <w:pStyle w:val="dingding-heading2"/>
      </w:pPr>
      <w:r>
        <w:rPr>
          <w:b w:val="1"/>
        </w:rPr>
        <w:t xml:space="preserve">六、广告素材报表有什么变化</w:t>
      </w:r>
    </w:p>
    <w:p>
      <w:pPr/>
      <w:r>
        <w:rPr>
          <w:sz w:val="24"/>
        </w:rPr>
        <w:t xml:space="preserve">广告素材报表本次同步增强了筛选和展示能力：</w:t>
      </w:r>
    </w:p>
    <w:p>
      <w:pPr>
        <w:numPr>
          <w:ilvl w:val="0"/>
          <w:numId w:val="9"/>
        </w:numPr>
      </w:pPr>
      <w:r>
        <w:rPr>
          <w:sz w:val="24"/>
        </w:rPr>
        <w:t xml:space="preserve">账户筛选支持多选。</w:t>
      </w:r>
    </w:p>
    <w:p>
      <w:pPr>
        <w:numPr>
          <w:ilvl w:val="0"/>
          <w:numId w:val="9"/>
        </w:numPr>
      </w:pPr>
      <w:r>
        <w:rPr>
          <w:sz w:val="24"/>
        </w:rPr>
        <w:t xml:space="preserve">保留旧版常用筛选习惯，降低切换成本。</w:t>
      </w:r>
    </w:p>
    <w:p>
      <w:pPr>
        <w:numPr>
          <w:ilvl w:val="0"/>
          <w:numId w:val="9"/>
        </w:numPr>
      </w:pPr>
      <w:r>
        <w:rPr>
          <w:sz w:val="24"/>
        </w:rPr>
        <w:t xml:space="preserve">新增制作方相关筛选，便于按素材责任人或制作来源分析。</w:t>
      </w:r>
    </w:p>
    <w:p>
      <w:pPr>
        <w:numPr>
          <w:ilvl w:val="0"/>
          <w:numId w:val="9"/>
        </w:numPr>
      </w:pPr>
      <w:r>
        <w:rPr>
          <w:sz w:val="24"/>
        </w:rPr>
        <w:t xml:space="preserve">展示字段补充横竖版、上传人、达人、创意人、制作人等信息。</w:t>
      </w:r>
    </w:p>
    <w:p>
      <w:pPr>
        <w:numPr>
          <w:ilvl w:val="0"/>
          <w:numId w:val="9"/>
        </w:numPr>
      </w:pPr>
      <w:r>
        <w:rPr>
          <w:sz w:val="24"/>
        </w:rPr>
        <w:t xml:space="preserve">可结合优化师筛选，查看某位优化师负责素材的消耗、激活、付费表现。</w:t>
      </w:r>
    </w:p>
    <w:p>
      <w:pPr>
        <w:pStyle w:val="dingding-heading2"/>
      </w:pPr>
      <w:r>
        <w:rPr>
          <w:b w:val="1"/>
        </w:rPr>
        <w:t xml:space="preserve">七、常见问题</w:t>
      </w:r>
    </w:p>
    <w:p>
      <w:pPr>
        <w:pStyle w:val="dingding-heading3"/>
      </w:pPr>
      <w:r>
        <w:rPr>
          <w:b w:val="1"/>
        </w:rPr>
        <w:t xml:space="preserve">1. 为什么现在维护折扣时要选付款模式和结算账期？</w:t>
      </w:r>
    </w:p>
    <w:p>
      <w:pPr/>
      <w:r>
        <w:rPr>
          <w:sz w:val="24"/>
        </w:rPr>
        <w:t xml:space="preserve">因为不同媒体和代理商的结算政策会影响折扣匹配。补齐这些信息后，后续计算折后消耗会更准确。</w:t>
      </w:r>
    </w:p>
    <w:p>
      <w:pPr>
        <w:pStyle w:val="dingding-heading3"/>
      </w:pPr>
      <w:r>
        <w:rPr>
          <w:b w:val="1"/>
        </w:rPr>
        <w:t xml:space="preserve">2. 预付和垫付的折后消耗口径是否不同？</w:t>
      </w:r>
    </w:p>
    <w:p>
      <w:pPr/>
      <w:r>
        <w:rPr>
          <w:sz w:val="24"/>
        </w:rPr>
        <w:t xml:space="preserve">本次上线后，两种付款模式最终折后消耗口径一致，系统会按账面消耗和返点折算。</w:t>
      </w:r>
    </w:p>
    <w:p>
      <w:pPr>
        <w:pStyle w:val="dingding-heading3"/>
      </w:pPr>
      <w:r>
        <w:rPr>
          <w:b w:val="1"/>
        </w:rPr>
        <w:t xml:space="preserve">3. 魔方问数返回的数据太少怎么办？</w:t>
      </w:r>
    </w:p>
    <w:p>
      <w:pPr/>
      <w:r>
        <w:rPr>
          <w:sz w:val="24"/>
        </w:rPr>
        <w:t xml:space="preserve">明细结果默认会控制数量。如果需要更精确结果，可以继续补充筛选条件，例如项目、日期、媒体、账户、优化师、活动或包体。</w:t>
      </w:r>
    </w:p>
    <w:p>
      <w:pPr>
        <w:pStyle w:val="dingding-heading3"/>
      </w:pPr>
      <w:r>
        <w:rPr>
          <w:b w:val="1"/>
        </w:rPr>
        <w:t xml:space="preserve">4. 为什么有些报表不能按优化师筛选？</w:t>
      </w:r>
    </w:p>
    <w:p>
      <w:pPr/>
      <w:r>
        <w:rPr>
          <w:sz w:val="24"/>
        </w:rPr>
        <w:t xml:space="preserve">实时数据和回流类报表本次暂不支持优化师筛选。其他已支持的报表可优先使用优化师筛选查看负责人表现。</w:t>
      </w:r>
    </w:p>
    <w:p>
      <w:pPr/>
      <w:r/>
    </w:p>
    <w:p>
      <w:pPr>
        <w:pStyle w:val="dingding-heading2"/>
      </w:pPr>
      <w:r>
        <w:rPr>
          <w:b w:val="1"/>
        </w:rPr>
        <w:t xml:space="preserve">八、给发行部门的使用建议</w:t>
      </w:r>
    </w:p>
    <w:p>
      <w:pPr>
        <w:numPr>
          <w:ilvl w:val="0"/>
          <w:numId w:val="10"/>
        </w:numPr>
      </w:pPr>
      <w:r>
        <w:rPr>
          <w:sz w:val="24"/>
        </w:rPr>
        <w:t xml:space="preserve">查整体表现时，先问项目或日期汇总，再追问具体账户、素材、活动或包体。</w:t>
      </w:r>
    </w:p>
    <w:p>
      <w:pPr>
        <w:numPr>
          <w:ilvl w:val="0"/>
          <w:numId w:val="10"/>
        </w:numPr>
      </w:pPr>
      <w:r>
        <w:rPr>
          <w:sz w:val="24"/>
        </w:rPr>
        <w:t xml:space="preserve">查负责人表现时，优先使用优化师筛选。</w:t>
      </w:r>
    </w:p>
    <w:p>
      <w:pPr>
        <w:numPr>
          <w:ilvl w:val="0"/>
          <w:numId w:val="10"/>
        </w:numPr>
      </w:pPr>
      <w:r>
        <w:rPr>
          <w:sz w:val="24"/>
        </w:rPr>
        <w:t xml:space="preserve">查素材问题时，结合制作方、上传人、创意人等字段一起看。</w:t>
      </w:r>
    </w:p>
    <w:p>
      <w:pPr>
        <w:numPr>
          <w:ilvl w:val="0"/>
          <w:numId w:val="10"/>
        </w:numPr>
      </w:pPr>
      <w:r>
        <w:rPr>
          <w:sz w:val="24"/>
        </w:rPr>
        <w:t xml:space="preserve">发现折后消耗异常时，先检查广告账户是否绑定了正确代理商、付款模式和折扣日期。</w:t>
      </w:r>
    </w:p>
    <w:p>
      <w:pPr>
        <w:numPr>
          <w:ilvl w:val="0"/>
          <w:numId w:val="10"/>
        </w:numPr>
      </w:pPr>
      <w:r>
        <w:rPr>
          <w:sz w:val="24"/>
        </w:rPr>
        <w:t xml:space="preserve">新账户上线前，尽量先完成代理商和付款信息确认，避免后续报表口径偏差。</w:t>
      </w:r>
    </w:p>
    <w:p>
      <w:pPr>
        <w:pStyle w:val="dingding-heading2"/>
      </w:pPr>
      <w:r>
        <w:rPr>
          <w:b w:val="1"/>
        </w:rPr>
        <w:t xml:space="preserve">九、本手册依据</w:t>
      </w:r>
    </w:p>
    <w:p>
      <w:pPr>
        <w:numPr>
          <w:ilvl w:val="0"/>
          <w:numId w:val="11"/>
        </w:numPr>
      </w:pPr>
      <w:r/>
      <w:r/>
    </w:p>
    <w:p>
      <w:pPr>
        <w:numPr>
          <w:ilvl w:val="0"/>
          <w:numId w:val="11"/>
        </w:numPr>
      </w:pPr>
      <w:r/>
      <w:r/>
    </w:p>
    <w:p>
      <w:pPr>
        <w:numPr>
          <w:ilvl w:val="0"/>
          <w:numId w:val="11"/>
        </w:numPr>
      </w:pPr>
      <w:r/>
      <w:r>
        <w:drawing>
          <wp:inline distT="0" distB="0" distL="0" distR="0">
            <wp:extent cx="7115175" cy="3347442"/>
            <wp:effectExtent b="0" l="0" r="0" t="0"/>
            <wp:docPr id="1" name="photo_2026-05-14_17-51-53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15175" cy="33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280254"/>
            <wp:effectExtent b="0" l="0" r="0" t="0"/>
            <wp:docPr id="2" name="photo_2026-05-14_17-53-51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115175" cy="32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333401"/>
            <wp:effectExtent b="0" l="0" r="0" t="0"/>
            <wp:docPr id="3" name="photo_2026-05-14_17-52-02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15175" cy="333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3">
    <w:abstractNumId w:val="2"/>
  </w:num>
  <w:num w:numId="10">
    <w:abstractNumId w:val="9"/>
  </w:num>
  <w:num w:numId="6">
    <w:abstractNumId w:val="5"/>
  </w:num>
  <w:num w:numId="11">
    <w:abstractNumId w:val="10"/>
  </w:num>
  <w:num w:numId="5">
    <w:abstractNumId w:val="4"/>
  </w:num>
  <w:num w:numId="7">
    <w:abstractNumId w:val="6"/>
  </w:num>
  <w:num w:numId="8">
    <w:abstractNumId w:val="7"/>
  </w:num>
  <w:num w:numId="4">
    <w:abstractNumId w:val="3"/>
  </w:num>
  <w:num w:numId="2">
    <w:abstractNumId w:val="1"/>
  </w:num>
  <w:num w:numId="1">
    <w:abstractNumId w:val="0"/>
  </w:num>
  <w:num w:numId="9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