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Dataki 知识库 v1.1</w:t>
      </w:r>
    </w:p>
    <w:p>
      <w:pPr>
        <w:numPr>
          <w:ilvl w:val="0"/>
          <w:numId w:val="1"/>
        </w:numPr>
      </w:pPr>
      <w:r>
        <w:rPr>
          <w:sz w:val="24"/>
        </w:rPr>
        <w:t xml:space="preserve">版本：v1.1</w:t>
      </w:r>
    </w:p>
    <w:p>
      <w:pPr>
        <w:numPr>
          <w:ilvl w:val="0"/>
          <w:numId w:val="1"/>
        </w:numPr>
      </w:pPr>
      <w:r>
        <w:rPr>
          <w:sz w:val="24"/>
        </w:rPr>
        <w:t xml:space="preserve">日期：2026-04-24</w:t>
      </w:r>
    </w:p>
    <w:p>
      <w:pPr>
        <w:numPr>
          <w:ilvl w:val="0"/>
          <w:numId w:val="1"/>
        </w:numPr>
      </w:pPr>
      <w:r>
        <w:rPr>
          <w:sz w:val="24"/>
        </w:rPr>
        <w:t xml:space="preserve">状态：Draft</w:t>
      </w:r>
    </w:p>
    <w:p>
      <w:pPr>
        <w:numPr>
          <w:ilvl w:val="0"/>
          <w:numId w:val="1"/>
        </w:numPr>
      </w:pPr>
      <w:r>
        <w:rPr>
          <w:sz w:val="24"/>
        </w:rPr>
        <w:t xml:space="preserve">适用范围：WeKnora 二开的第一个版本定义</w:t>
      </w:r>
    </w:p>
    <w:p>
      <w:pPr>
        <w:numPr>
          <w:ilvl w:val="0"/>
          <w:numId w:val="1"/>
        </w:numPr>
      </w:pPr>
      <w:r>
        <w:rPr>
          <w:sz w:val="24"/>
        </w:rPr>
        <w:t xml:space="preserve">读者对象：产品、设计、前端、后端、测试、AI</w:t>
      </w:r>
    </w:p>
    <w:p>
      <w:pPr>
        <w:numPr>
          <w:ilvl w:val="0"/>
          <w:numId w:val="1"/>
        </w:numPr>
      </w:pPr>
      <w:r>
        <w:rPr>
          <w:sz w:val="24"/>
        </w:rPr>
        <w:t xml:space="preserve">v1.0地址：</w:t>
      </w:r>
      <w:hyperlink r:id="rId4">
        <w:r>
          <w:rPr>
            <w:sz w:val="24"/>
            <w:rStyle w:val="hyperlink"/>
          </w:rPr>
          <w:t xml:space="preserve">http://dataki.dobest.com</w:t>
        </w:r>
      </w:hyperlink>
      <w:r>
        <w:rPr>
          <w:sz w:val="24"/>
        </w:rPr>
        <w:t xml:space="preserve"> </w:t>
      </w:r>
    </w:p>
    <w:p>
      <w:pPr>
        <w:pStyle w:val="dingding_quote"/>
        <w:ind/>
      </w:pPr>
      <w:r>
        <w:t xml:space="preserve">管理员：黄嘉琪、杨郁、徐韵、贺嘉</w:t>
      </w:r>
    </w:p>
    <w:p>
      <w:pPr>
        <w:pStyle w:val="dingding_quote"/>
        <w:ind/>
      </w:pPr>
      <w:r>
        <w:t xml:space="preserve">用户A：</w:t>
      </w:r>
      <w:hyperlink r:id="rId5">
        <w:r>
          <w:rPr>
            <w:sz w:val="24"/>
            <w:rStyle w:val="hyperlink"/>
          </w:rPr>
          <w:t xml:space="preserve">xuyun@dobest.com</w:t>
        </w:r>
      </w:hyperlink>
      <w:r>
        <w:rPr>
          <w:sz w:val="24"/>
        </w:rPr>
        <w:t xml:space="preserve"> 232459VV </w:t>
      </w:r>
    </w:p>
    <w:p>
      <w:pPr>
        <w:pStyle w:val="dingding_quote"/>
        <w:ind/>
      </w:pPr>
      <w:r>
        <w:rPr>
          <w:sz w:val="24"/>
        </w:rPr>
        <w:t xml:space="preserve">用户B：ch1@dobest.com 232459VV</w:t>
      </w:r>
    </w:p>
    <w:p>
      <w:pPr>
        <w:pBdr>
          <w:top w:val="inset" w:sz="4" w:space="0" w:color="808080"/>
        </w:pBdr>
      </w:pP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一、需求清单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65"/>
        <w:gridCol w:w="1140"/>
        <w:gridCol w:w="1890"/>
        <w:gridCol w:w="3795"/>
        <w:gridCol w:w="5190"/>
        <w:gridCol w:w="3795"/>
        <w:gridCol w:w="3795"/>
      </w:tblGrid>
      <w:tr>
        <w:trPr>
          <w:trHeight w:val="495"/>
        </w:trPr>
        <w:tc>
          <w:tcPr>
            <w:tcW w:w="136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分类</w:t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模块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需求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描述</w:t>
            </w:r>
          </w:p>
        </w:tc>
        <w:tc>
          <w:tcPr>
            <w:tcW w:w="51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备注</w:t>
            </w:r>
          </w:p>
        </w:tc>
        <w:tc>
          <w:tcPr>
            <w:tcW w:w="3795" w:type="dxa"/>
          </w:tcPr>
          <w:p>
            <w:pPr/>
            <w:r>
              <w:t xml:space="preserve">设计图</w:t>
            </w:r>
          </w:p>
        </w:tc>
        <w:tc>
          <w:tcPr>
            <w:tcW w:w="3795" w:type="dxa"/>
          </w:tcPr>
          <w:p>
            <w:pPr/>
            <w:r>
              <w:t xml:space="preserve">原系统截图</w:t>
            </w:r>
          </w:p>
        </w:tc>
      </w:tr>
      <w:tr>
        <w:trPr>
          <w:trHeight w:val="0"/>
        </w:trPr>
        <w:tc>
          <w:tcPr>
            <w:tcW w:w="1365" w:type="dxa"/>
          </w:tcPr>
          <w:p>
            <w:pPr/>
            <w:r>
              <w:t xml:space="preserve">部署</w:t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系统名称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替换开源标识</w:t>
            </w:r>
          </w:p>
        </w:tc>
        <w:tc>
          <w:tcPr>
            <w:tcW w:w="3795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Dataki</w:t>
            </w:r>
            <w:r>
              <w:t xml:space="preserve">  </w:t>
            </w:r>
            <w:r>
              <w:rPr>
                <w:sz w:val="18"/>
                <w:rFonts w:ascii="Microsoft YaHei" w:hAnsi="Microsoft YaHei" w:cs="Microsoft YaHei" w:eastAsia="Microsoft YaHei"/>
              </w:rPr>
              <w:t xml:space="preserve">链接知识和数据</w:t>
            </w:r>
          </w:p>
        </w:tc>
        <w:tc>
          <w:tcPr>
            <w:tcW w:w="5190" w:type="dxa"/>
          </w:tcPr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</w:tr>
      <w:tr>
        <w:trPr>
          <w:trHeight w:val="3465"/>
        </w:trPr>
        <w:tc>
          <w:tcPr>
            <w:tcW w:w="1365" w:type="dxa"/>
            <w:vMerge w:val="restart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登录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采用统一小闪身份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  <w:hyperlink r:id="rId6">
              <w:r>
                <w:rPr>
                  <w:rStyle w:val="hyperlink"/>
                </w:rPr>
                <w:t xml:space="preserve">《接口请求域名地址说明》</w:t>
              </w:r>
            </w:hyperlink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5190" w:type="dxa"/>
          </w:tcPr>
          <w:p>
            <w:pPr/>
            <w:r>
              <w:rPr>
                <w:sz w:val="18"/>
              </w:rPr>
              <w:t xml:space="preserve">应用类型 ：0</w:t>
            </w:r>
          </w:p>
          <w:p>
            <w:pPr/>
            <w:r>
              <w:rPr>
                <w:sz w:val="18"/>
              </w:rPr>
              <w:t xml:space="preserve">App_id  ：8217</w:t>
            </w:r>
          </w:p>
          <w:p>
            <w:pPr>
              <w:pStyle w:val="dingding_quote"/>
            </w:pPr>
            <w:r>
              <w:rPr>
                <w:sz w:val="18"/>
              </w:rPr>
              <w:t xml:space="preserve">app_secret  ：uRFc0oJUL9HEuBjzSpjAqzMFGdb8amCJSejmycQTR6pfoYKv1C6ERAM3HlGCoY9G</w:t>
            </w:r>
          </w:p>
          <w:p>
            <w:pPr/>
            <w:r>
              <w:rPr>
                <w:sz w:val="18"/>
              </w:rPr>
            </w:r>
          </w:p>
          <w:p>
            <w:pPr>
              <w:pStyle w:val="dingding_quote"/>
            </w:pPr>
            <w:r>
              <w:rPr>
                <w:sz w:val="18"/>
              </w:rPr>
              <w:t xml:space="preserve">app_key  ：</w:t>
            </w:r>
          </w:p>
          <w:p>
            <w:pPr>
              <w:pStyle w:val="dingding_quote"/>
            </w:pPr>
            <w:r>
              <w:rPr>
                <w:sz w:val="18"/>
              </w:rPr>
              <w:t xml:space="preserve">fQKNAJv1cBDHIPW9kBBYWR4gzMOdhcjt</w:t>
            </w:r>
          </w:p>
        </w:tc>
        <w:tc>
          <w:tcPr>
            <w:tcW w:w="3795" w:type="dxa"/>
            <w:vMerge w:val="restart"/>
          </w:tcPr>
          <w:p>
            <w:pPr/>
            <w:r/>
            <w:r>
              <w:drawing>
                <wp:inline distT="0" distB="0" distL="0" distR="0">
                  <wp:extent cx="2247900" cy="1265116"/>
                  <wp:effectExtent b="0" l="0" r="0" t="0"/>
                  <wp:docPr id="1" name="d67cfc1b-35a4-4d0e-a10f-b8e3dce0f8b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247900" cy="126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</w:tr>
      <w:tr>
        <w:trPr>
          <w:trHeight w:val="1065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登录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token约束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    1. 有效期 7200 秒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    2. 有效期内返回相同结果并自动续期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    3. 服务端必须缓存 access_token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    4. 不能频繁调用 gettoken 接口</w:t>
            </w:r>
          </w:p>
        </w:tc>
        <w:tc>
          <w:tcPr>
            <w:tcW w:w="51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登录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统一前端登录组件</w:t>
            </w:r>
          </w:p>
        </w:tc>
        <w:tc>
          <w:tcPr>
            <w:tcW w:w="3795" w:type="dxa"/>
          </w:tcPr>
          <w:p>
            <w:pPr/>
            <w:r/>
            <w:hyperlink r:id="rId8">
              <w:r>
                <w:rPr>
                  <w:sz w:val="18"/>
                  <w:rFonts w:ascii="Microsoft YaHei" w:hAnsi="Microsoft YaHei" w:cs="Microsoft YaHei" w:eastAsia="Microsoft YaHei"/>
                  <w:rStyle w:val="hyperlink"/>
                </w:rPr>
                <w:t xml:space="preserve">登录组件</w:t>
              </w:r>
            </w:hyperlink>
            <w:r>
              <w:rPr>
                <w:sz w:val="18"/>
                <w:rFonts w:ascii="Microsoft YaHei" w:hAnsi="Microsoft YaHei" w:cs="Microsoft YaHei" w:eastAsia="Microsoft YaHei"/>
              </w:rPr>
              <w:t xml:space="preserve">交互与之一致，支持移动端</w:t>
            </w:r>
          </w:p>
        </w:tc>
        <w:tc>
          <w:tcPr>
            <w:tcW w:w="51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gent中引用下载的那个文件，组件库和skills已安装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</w:tr>
      <w:tr>
        <w:trPr>
          <w:trHeight w:val="93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用户隔离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默认同一个租户</w:t>
            </w:r>
          </w:p>
        </w:tc>
        <w:tc>
          <w:tcPr>
            <w:tcW w:w="3795" w:type="dxa"/>
          </w:tcPr>
          <w:p>
            <w:pPr>
              <w:ind/>
            </w:pPr>
            <w:r>
              <w:rPr>
                <w:sz w:val="18"/>
                <w:rFonts w:ascii="Microsoft YaHei" w:hAnsi="Microsoft YaHei" w:cs="Microsoft YaHei" w:eastAsia="Microsoft YaHei"/>
              </w:rPr>
              <w:t xml:space="preserve">小闪用户默认同一个租户【10001】</w:t>
            </w:r>
          </w:p>
        </w:tc>
        <w:tc>
          <w:tcPr>
            <w:tcW w:w="51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决策依据：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小闪文档目前也是一个租户。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后续如有特殊强隔离需求，可单独分配其他租户ID，当前可固定租户ID。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  <w:hyperlink r:id="rId9">
              <w:r>
                <w:rPr>
                  <w:sz w:val="18"/>
                  <w:rFonts w:ascii="Microsoft YaHei" w:hAnsi="Microsoft YaHei" w:cs="Microsoft YaHei" w:eastAsia="Microsoft YaHei"/>
                  <w:rStyle w:val="hyperlink"/>
                </w:rPr>
                <w:t xml:space="preserve">GPT问答</w:t>
              </w:r>
            </w:hyperlink>
            <w:r>
              <w:rPr>
                <w:sz w:val="18"/>
                <w:rFonts w:ascii="Microsoft YaHei" w:hAnsi="Microsoft YaHei" w:cs="Microsoft YaHei" w:eastAsia="Microsoft YaHei"/>
              </w:rPr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  <w:hyperlink r:id="rId10">
              <w:r>
                <w:rPr>
                  <w:sz w:val="18"/>
                  <w:rFonts w:ascii="Microsoft YaHei" w:hAnsi="Microsoft YaHei" w:cs="Microsoft YaHei" w:eastAsia="Microsoft YaHei"/>
                  <w:rStyle w:val="hyperlink"/>
                </w:rPr>
                <w:t xml:space="preserve">行业实践</w:t>
              </w:r>
            </w:hyperlink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</w:tr>
      <w:tr>
        <w:trPr>
          <w:trHeight w:val="1185"/>
        </w:trPr>
        <w:tc>
          <w:tcPr>
            <w:tcW w:w="1365" w:type="dxa"/>
            <w:vMerge w:val="restart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系统管理</w:t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全部设置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指定系统管理员</w:t>
            </w:r>
          </w:p>
        </w:tc>
        <w:tc>
          <w:tcPr>
            <w:tcW w:w="3795" w:type="dxa"/>
          </w:tcPr>
          <w:p>
            <w:pPr>
              <w:ind/>
            </w:pPr>
            <w:r>
              <w:rPr>
                <w:sz w:val="18"/>
                <w:rFonts w:ascii="Microsoft YaHei" w:hAnsi="Microsoft YaHei" w:cs="Microsoft YaHei" w:eastAsia="Microsoft YaHei"/>
              </w:rPr>
              <w:t xml:space="preserve">指定N个用户为超管，仅超管拥有高级设置权限，维护同一份全局设置、知识库设置、智能体管理，用户仅共用这套配置</w:t>
            </w:r>
          </w:p>
        </w:tc>
        <w:tc>
          <w:tcPr>
            <w:tcW w:w="51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系统管理员同时也是用户，拥有用户一样的知识库、共享空间、对话权限，均需要邀请进入。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- 维护模型配置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- 维护MCP配置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- 维护 API Key / 网关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- 维护全局默认参数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- 处理用户异常和审计</w:t>
            </w:r>
          </w:p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- 给各个空间使用方写智能体</w:t>
            </w:r>
          </w:p>
        </w:tc>
        <w:tc>
          <w:tcPr>
            <w:tcW w:w="3795" w:type="dxa"/>
          </w:tcPr>
          <w:p>
            <w:pPr/>
            <w:r/>
          </w:p>
        </w:tc>
        <w:tc>
          <w:tcPr>
            <w:tcW w:w="379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知识库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用户设置权限收回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用户只支持基本信息，共享管理</w:t>
            </w:r>
          </w:p>
        </w:tc>
        <w:tc>
          <w:tcPr>
            <w:tcW w:w="5190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禁止修改设置</w:t>
            </w:r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390775" cy="1367984"/>
                  <wp:effectExtent b="0" l="0" r="0" t="0"/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alphaModFix amt="100000"/>
                          </a:blip>
                          <a:stretch/>
                        </pic:blipFill>
                        <pic:spPr>
                          <a:xfrm rot="0">
                            <a:off x="0" y="0"/>
                            <a:ext cx="2390775" cy="136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247900" cy="1286422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2247900" cy="128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智能体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用户设置权限收回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用户无该菜单，只支持对话框选择</w:t>
            </w:r>
          </w:p>
        </w:tc>
        <w:tc>
          <w:tcPr>
            <w:tcW w:w="5190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禁止创建、编辑、复制、停用、共享到空间和删除智能体</w:t>
            </w:r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390775" cy="1348806"/>
                  <wp:effectExtent b="0" l="0" r="0" t="0"/>
                  <wp:docPr id="4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alphaModFix amt="100000"/>
                          </a:blip>
                          <a:stretch/>
                        </pic:blipFill>
                        <pic:spPr>
                          <a:xfrm rot="0">
                            <a:off x="0" y="0"/>
                            <a:ext cx="2390775" cy="134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247900" cy="1270616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2247900" cy="1270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共享空间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仅声明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超管不支持查看全部共享空间，知识库</w:t>
            </w:r>
          </w:p>
        </w:tc>
        <w:tc>
          <w:tcPr>
            <w:tcW w:w="5190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只能邀请进入</w:t>
            </w:r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390775" cy="1371180"/>
                  <wp:effectExtent b="0" l="0" r="0" t="0"/>
                  <wp:docPr id="6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alphaModFix amt="100000"/>
                          </a:blip>
                          <a:stretch/>
                        </pic:blipFill>
                        <pic:spPr>
                          <a:xfrm rot="0">
                            <a:off x="0" y="0"/>
                            <a:ext cx="2390775" cy="137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247900" cy="1290844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2247900" cy="12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对话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用户设置权限收回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用户只支持查看/选择智能体和大模型</w:t>
            </w:r>
          </w:p>
        </w:tc>
        <w:tc>
          <w:tcPr>
            <w:tcW w:w="5190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禁止展示管理智能体、管理大模型的按钮。</w:t>
            </w:r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390775" cy="1352002"/>
                  <wp:effectExtent b="0" l="0" r="0" t="0"/>
                  <wp:docPr id="8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alphaModFix amt="100000"/>
                          </a:blip>
                          <a:stretch/>
                        </pic:blipFill>
                        <pic:spPr>
                          <a:xfrm rot="0">
                            <a:off x="0" y="0"/>
                            <a:ext cx="2390775" cy="135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390775" cy="1355199"/>
                  <wp:effectExtent b="0" l="0" r="0" t="0"/>
                  <wp:docPr id="9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alphaModFix amt="100000"/>
                          </a:blip>
                          <a:stretch/>
                        </pic:blipFill>
                        <pic:spPr>
                          <a:xfrm rot="0">
                            <a:off x="0" y="0"/>
                            <a:ext cx="2390775" cy="135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247900" cy="1274054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2247900" cy="127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47900" cy="1276878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2247900" cy="127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1140" w:type="dxa"/>
            <w:vAlign w:val="center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个人中心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删除开源标识</w:t>
            </w:r>
          </w:p>
        </w:tc>
        <w:tc>
          <w:tcPr>
            <w:tcW w:w="3795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  <w:t xml:space="preserve">删除API文档、官方网站、Github菜单</w:t>
            </w:r>
          </w:p>
        </w:tc>
        <w:tc>
          <w:tcPr>
            <w:tcW w:w="5190" w:type="dxa"/>
          </w:tcPr>
          <w:p>
            <w:pPr/>
            <w:r>
              <w:rPr>
                <w:sz w:val="18"/>
                <w:rFonts w:ascii="Microsoft YaHei" w:hAnsi="Microsoft YaHei" w:cs="Microsoft YaHei" w:eastAsia="Microsoft YaHei"/>
              </w:rPr>
            </w:r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390775" cy="1361591"/>
                  <wp:effectExtent b="0" l="0" r="0" t="0"/>
                  <wp:docPr id="1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alphaModFix amt="100000"/>
                          </a:blip>
                          <a:stretch/>
                        </pic:blipFill>
                        <pic:spPr>
                          <a:xfrm rot="0">
                            <a:off x="0" y="0"/>
                            <a:ext cx="2390775" cy="136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795" w:type="dxa"/>
          </w:tcPr>
          <w:p>
            <w:pPr/>
            <w:r/>
            <w:r>
              <w:drawing>
                <wp:inline distT="0" distB="0" distL="0" distR="0">
                  <wp:extent cx="2247900" cy="1280524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 rot="0">
                            <a:off x="0" y="0"/>
                            <a:ext cx="2247900" cy="128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二、Wekrona迭代</w:t>
      </w:r>
    </w:p>
    <w:p>
      <w:pPr/>
      <w:r>
        <w:t xml:space="preserve">1、列举Wikrona披露规划中有价值的3点：</w:t>
      </w:r>
    </w:p>
    <w:p>
      <w:pPr>
        <w:numPr>
          <w:ilvl w:val="0"/>
          <w:numId w:val="2"/>
        </w:numPr>
      </w:pPr>
      <w:r>
        <w:t xml:space="preserve">支持文档结构化 </w:t>
      </w:r>
    </w:p>
    <w:p>
      <w:pPr>
        <w:numPr>
          <w:ilvl w:val="0"/>
          <w:numId w:val="2"/>
        </w:numPr>
      </w:pPr>
      <w:r>
        <w:t xml:space="preserve">支持音视频格式</w:t>
      </w:r>
    </w:p>
    <w:p>
      <w:pPr>
        <w:numPr>
          <w:ilvl w:val="0"/>
          <w:numId w:val="2"/>
        </w:numPr>
      </w:pPr>
      <w:r>
        <w:t xml:space="preserve">支持数据表存储与索引</w:t>
      </w:r>
    </w:p>
    <w:p>
      <w:pPr>
        <w:pStyle w:val="dingding_quote"/>
        <w:ind/>
        <w:spacing/>
      </w:pPr>
      <w:r>
        <w:t xml:space="preserve">https://github.com/Tencent/WeKnora/blob/main/docs/ROADMAP.md</w:t>
      </w:r>
    </w:p>
    <w:p>
      <w:pPr>
        <w:ind/>
        <w:spacing/>
      </w:pPr>
      <w:r/>
    </w:p>
    <w:p>
      <w:pPr/>
      <w:r>
        <w:t xml:space="preserve">2、自身迭代计划</w:t>
      </w:r>
    </w:p>
    <w:p>
      <w:pPr>
        <w:numPr>
          <w:ilvl w:val="0"/>
          <w:numId w:val="3"/>
        </w:numPr>
      </w:pPr>
      <w:r>
        <w:t xml:space="preserve">知识更新</w:t>
      </w:r>
    </w:p>
    <w:p>
      <w:pPr>
        <w:numPr>
          <w:ilvl w:val="0"/>
          <w:numId w:val="3"/>
        </w:numPr>
      </w:pPr>
      <w:r>
        <w:t xml:space="preserve">标签聚合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://weknora.yokagames.com/" TargetMode="External" />
  <Relationship Id="rId5" Type="http://schemas.openxmlformats.org/officeDocument/2006/relationships/hyperlink" Target="mailto:xuyun@dobest.com" TargetMode="External" />
  <Relationship Id="rId6" Type="http://schemas.openxmlformats.org/officeDocument/2006/relationships/hyperlink" Target="https://docs.xiaoshanim.com/i/nodes/7gNKMlbrq3WXAAb6koni4Xv5p6Ad9nL1?utm_scene=team_space" TargetMode="External" />
  <Relationship Id="rId7" Type="http://schemas.openxmlformats.org/officeDocument/2006/relationships/image" Target="media/image1.png" />
  <Relationship Id="rId8" Type="http://schemas.openxmlformats.org/officeDocument/2006/relationships/hyperlink" Target="http://10.236.15.36:6006/?path=/docs/%E4%B8%9A%E5%8A%A1%E7%BB%84%E4%BB%B6-ykloginmodule-%E7%99%BB%E5%BD%95%E7%BB%84%E4%BB%B6--docs" TargetMode="External" />
  <Relationship Id="rId9" Type="http://schemas.openxmlformats.org/officeDocument/2006/relationships/hyperlink" Target="https://chatgpt.com/share/69eb13c2-91a4-8324-8f6d-7dc3e97204db" TargetMode="External" />
  <Relationship Id="rId10" Type="http://schemas.openxmlformats.org/officeDocument/2006/relationships/hyperlink" Target="https://blog.csdn.net/weixin_42627459/article/details/157856613?sharetype=blogdetail&amp;shareId=157856613&amp;sharerefer=APP&amp;sharesource=2611_95903590&amp;sharefrom=link" TargetMode="External" />
  <Relationship Id="rId11" Type="http://schemas.openxmlformats.org/officeDocument/2006/relationships/image" Target="media/image2.png" />
  <Relationship Id="rId12" Type="http://schemas.openxmlformats.org/officeDocument/2006/relationships/image" Target="media/image3.png" />
  <Relationship Id="rId13" Type="http://schemas.openxmlformats.org/officeDocument/2006/relationships/image" Target="media/image4.png" />
  <Relationship Id="rId14" Type="http://schemas.openxmlformats.org/officeDocument/2006/relationships/image" Target="media/image5.png" />
  <Relationship Id="rId15" Type="http://schemas.openxmlformats.org/officeDocument/2006/relationships/image" Target="media/image6.png" />
  <Relationship Id="rId16" Type="http://schemas.openxmlformats.org/officeDocument/2006/relationships/image" Target="media/image7.png" />
  <Relationship Id="rId17" Type="http://schemas.openxmlformats.org/officeDocument/2006/relationships/image" Target="media/image8.png" />
  <Relationship Id="rId18" Type="http://schemas.openxmlformats.org/officeDocument/2006/relationships/image" Target="media/image9.png" />
  <Relationship Id="rId19" Type="http://schemas.openxmlformats.org/officeDocument/2006/relationships/image" Target="media/image10.png" />
  <Relationship Id="rId20" Type="http://schemas.openxmlformats.org/officeDocument/2006/relationships/image" Target="media/image11.png" />
  <Relationship Id="rId21" Type="http://schemas.openxmlformats.org/officeDocument/2006/relationships/image" Target="media/image12.png" />
  <Relationship Id="rId22" Type="http://schemas.openxmlformats.org/officeDocument/2006/relationships/image" Target="media/image1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