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埋点验收工具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一、问题汇总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（一）规范及流程问题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 埋点设计归属权、信息同步问题</w:t>
      </w:r>
    </w:p>
    <w:p>
      <w:pPr/>
      <w:r>
        <w:t xml:space="preserve">（策划主导--&gt;数据BP确认）or（数据BP主导--&gt;策划确认）；游戏内容变更、埋点设计过程信息同步不及时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2. 埋点全流程不清晰、难落地</w:t>
      </w:r>
    </w:p>
    <w:p>
      <w:pPr/>
      <w:r>
        <w:t xml:space="preserve">期望流程数据需求提出--&gt;埋点内容确认--&gt;程序开发并自测--&gt;QA&amp;策划&amp;数据BP验收确认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 时间排期管理</w:t>
      </w:r>
    </w:p>
    <w:p>
      <w:pPr/>
      <w:r>
        <w:t xml:space="preserve">项目测试时间多变、程序排期不可控、数据验收排期依靠数据BP全权跟进确认</w:t>
      </w:r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（二）数据验收问题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 hdfs数据查询不便</w:t>
      </w:r>
    </w:p>
    <w:p>
      <w:pPr/>
      <w:r>
        <w:t xml:space="preserve">    impala存在数据更新问题；hive查询慢（spark便捷性不高）；生产环境和测试环境隔离；测试环境数据不干净（含生产环境数据）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2. 日志查询工具数据验收效率低</w:t>
      </w:r>
    </w:p>
    <w:p>
      <w:pPr/>
      <w:r>
        <w:t xml:space="preserve">    自定义事件数据上报通常含冗余字段（可视化效果差）；事件逐一验收较耗时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 数据埋点验收标准不清晰</w:t>
      </w:r>
    </w:p>
    <w:p>
      <w:pPr/>
      <w:r>
        <w:t xml:space="preserve">    未沉淀核心事件验收规范；自定义事件数据验收标准难明确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4. 埋点理解存在差异</w:t>
      </w:r>
    </w:p>
    <w:p>
      <w:pPr/>
      <w:r>
        <w:t xml:space="preserve">    QA、开发、策划、运营、数据BP等均参与数据验收确认，各方对数据埋点认知不一致造成较高沟通成本（如：QA触发的情况，数据BP查询数据需和QA沟通确认数据结果）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 埋点验收需多方协作</w:t>
      </w:r>
    </w:p>
    <w:p>
      <w:pPr/>
      <w:r>
        <w:t xml:space="preserve">    每次需求验收需多方同时在线（QA触发、程序确认、数据BP核验数据），排期协调难、人力成本投入大（且项目接入前期需反复确认核心事件）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二、埋点工具需求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 （一） 项目信息管理模块</w:t>
      </w:r>
    </w:p>
    <w:p>
      <w:pPr/>
      <w:r>
        <w:rPr>
          <w:b w:val="1"/>
        </w:rPr>
        <w:t xml:space="preserve">定义数据的版本背景，解决多版本、多渠道的混乱问题。</w:t>
      </w:r>
    </w:p>
    <w:p>
      <w:pPr/>
      <w:r/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项目概览信息：</w:t>
      </w:r>
    </w:p>
    <w:tbl>
      <w:tblPr>
        <w:tblStyle w:val="TableGrid"/>
        <w:tblW w:w="0" w:type="auto"/>
      </w:tblPr>
      <w:tblGrid>
        <w:gridCol w:w="3120"/>
        <w:gridCol w:w="2340"/>
        <w:gridCol w:w="1650"/>
        <w:gridCol w:w="3960"/>
      </w:tblGrid>
      <w:tr>
        <w:trPr>
          <w:trHeight w:val="630"/>
        </w:trPr>
        <w:tc>
          <w:tcPr>
            <w:tcW w:w="312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内容事项</w:t>
            </w:r>
          </w:p>
        </w:tc>
        <w:tc>
          <w:tcPr>
            <w:tcW w:w="234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确认方</w:t>
            </w:r>
          </w:p>
        </w:tc>
        <w:tc>
          <w:tcPr>
            <w:tcW w:w="165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是否确认完成</w:t>
            </w:r>
          </w:p>
        </w:tc>
        <w:tc>
          <w:tcPr>
            <w:tcW w:w="396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确认结果</w:t>
            </w:r>
          </w:p>
        </w:tc>
      </w:tr>
      <w:tr>
        <w:trPr>
          <w:trHeight w:val="63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测试地区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欧美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数据时区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UTC+0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测试平台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移动端APK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多端账号互通相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暂不涉及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APPID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研发&amp;发行&amp;战略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10200526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FE0300"/>
                <w:b w:val="1"/>
              </w:rPr>
              <w:t xml:space="preserve">渠道ID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FE0300"/>
                <w:b w:val="1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rPr>
                <w:color w:val="FE0300"/>
                <w:b w:val="1"/>
              </w:rPr>
              <w:t xml:space="preserve">否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rPr>
                <w:color w:val="FE0300"/>
                <w:b w:val="1"/>
              </w:rPr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获客方式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Facebook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数据回传方式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AF；Facebook待确认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是否开启付费&amp;付费回传机制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开付费，全量回传</w:t>
            </w:r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是否接入激励视频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>
              <w:t xml:space="preserve">暂不接入</w:t>
            </w:r>
          </w:p>
        </w:tc>
      </w:tr>
      <w:tr>
        <w:trPr>
          <w:trHeight w:val="645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创角点位确认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312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有效点位确认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研发&amp;发行</w:t>
            </w:r>
          </w:p>
        </w:tc>
        <w:tc>
          <w:tcPr>
            <w:tcW w:w="1650" w:type="dxa"/>
            <w:vAlign w:val="top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w="3960" w:type="dxa"/>
            <w:vAlign w:val="top"/>
          </w:tcPr>
          <w:p>
            <w:pPr>
              <w:jc w:val="center"/>
            </w:pPr>
            <w:r/>
          </w:p>
        </w:tc>
      </w:tr>
    </w:tbl>
    <w:p>
      <w:pPr>
        <w:ind/>
      </w:pPr>
      <w:r>
        <w:rPr>
          <w:color w:val="FE0300"/>
          <w:b w:val="1"/>
        </w:rPr>
        <w:t xml:space="preserve">注意：这里确认的渠道ID，为自动校验数据需确认的渠道ID</w:t>
      </w:r>
    </w:p>
    <w:p>
      <w:pPr>
        <w:ind/>
      </w:pPr>
      <w:r>
        <w:rPr>
          <w:color w:val="FE0300"/>
          <w:b w:val="1"/>
        </w:rPr>
      </w:r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版本迭代管理：关联游戏测试节点，记录每个版本对外的渠道、新增或变更的埋点</w:t>
      </w:r>
    </w:p>
    <w:tbl>
      <w:tblPr>
        <w:tblStyle w:val="TableGrid"/>
        <w:tblW w:w="0" w:type="auto"/>
      </w:tblPr>
      <w:tblGrid>
        <w:gridCol w:w="3120"/>
        <w:gridCol w:w="1740"/>
        <w:gridCol w:w="2085"/>
        <w:gridCol w:w="3285"/>
        <w:gridCol w:w="3000"/>
      </w:tblGrid>
      <w:tr>
        <w:trPr>
          <w:trHeight w:val="630"/>
        </w:trPr>
        <w:tc>
          <w:tcPr>
            <w:tcW w:w="312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节点</w:t>
            </w:r>
          </w:p>
        </w:tc>
        <w:tc>
          <w:tcPr>
            <w:tcW w:w="1740" w:type="dxa"/>
            <w:vAlign w:val="center"/>
            <w:shd w:val="clear" w:color="auto" w:fill="E1EAFF"/>
          </w:tcPr>
          <w:p>
            <w:pPr>
              <w:jc w:val="center"/>
            </w:pPr>
            <w:r>
              <w:t xml:space="preserve">内测or公测</w:t>
            </w:r>
          </w:p>
        </w:tc>
        <w:tc>
          <w:tcPr>
            <w:tcW w:w="2085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开始时间</w:t>
            </w:r>
          </w:p>
        </w:tc>
        <w:tc>
          <w:tcPr>
            <w:tcW w:w="3285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上线渠道</w:t>
            </w:r>
          </w:p>
        </w:tc>
        <w:tc>
          <w:tcPr>
            <w:tcW w:w="300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是否确认完成</w:t>
            </w:r>
          </w:p>
        </w:tc>
      </w:tr>
      <w:tr>
        <w:trPr>
          <w:trHeight w:val="63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版本更新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OBT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20250710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520214 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否</w:t>
            </w:r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apk公测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OBT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20250626 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310003、310004……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apk渠道评级补测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CBT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20250521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310003、310004……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apk渠道评级测试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CBT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20250509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310003、310004……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apk付费二测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CBT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20250410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310003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apk付费一侧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</w:pPr>
            <w:r>
              <w:t xml:space="preserve">CBT</w:t>
            </w:r>
          </w:p>
        </w:tc>
        <w:tc>
          <w:tcPr>
            <w:tcW w:w="20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20250306</w:t>
            </w:r>
          </w:p>
        </w:tc>
        <w:tc>
          <w:tcPr>
            <w:tcW w:w="3285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310003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</w:tr>
    </w:tbl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排期管理：明确客户端提审事件、测试对外时间，进而确认数据验收ddl。</w:t>
      </w:r>
    </w:p>
    <w:p>
      <w:pPr>
        <w:ind/>
      </w:pPr>
      <w:r>
        <w:rPr>
          <w:color w:val="FE0300"/>
          <w:b w:val="1"/>
        </w:rPr>
        <w:t xml:space="preserve">先选择版本节点，再确认下述信息</w:t>
      </w:r>
    </w:p>
    <w:tbl>
      <w:tblPr>
        <w:tblStyle w:val="TableGrid"/>
        <w:tblW w:w="0" w:type="auto"/>
      </w:tblPr>
      <w:tblGrid>
        <w:gridCol w:w="3120"/>
        <w:gridCol w:w="1740"/>
        <w:gridCol w:w="2085"/>
        <w:gridCol w:w="3285"/>
      </w:tblGrid>
      <w:tr>
        <w:trPr>
          <w:trHeight w:val="630"/>
        </w:trPr>
        <w:tc>
          <w:tcPr>
            <w:tcW w:w="3120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节点</w:t>
            </w:r>
          </w:p>
        </w:tc>
        <w:tc>
          <w:tcPr>
            <w:tcW w:w="1740" w:type="dxa"/>
            <w:vAlign w:val="center"/>
            <w:shd w:val="clear" w:color="auto" w:fill="E1EAFF"/>
          </w:tcPr>
          <w:p>
            <w:pPr>
              <w:jc w:val="center"/>
            </w:pPr>
            <w:r>
              <w:t xml:space="preserve">开始时间</w:t>
            </w:r>
          </w:p>
        </w:tc>
        <w:tc>
          <w:tcPr>
            <w:tcW w:w="2085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结束时间</w:t>
            </w:r>
          </w:p>
        </w:tc>
        <w:tc>
          <w:tcPr>
            <w:tcW w:w="3285" w:type="dxa"/>
            <w:vAlign w:val="top"/>
            <w:shd w:val="clear" w:color="auto" w:fill="E1EAFF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E1EAFF"/>
              </w:rPr>
              <w:t xml:space="preserve">进度状态</w:t>
            </w:r>
          </w:p>
        </w:tc>
      </w:tr>
      <w:tr>
        <w:trPr>
          <w:trHeight w:val="63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服务器对外时间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服务器生产环境数据确认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服务器测试环境数据确认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服务器埋点需求确认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客户端包体提审时间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客户端数据确认</w:t>
            </w:r>
          </w:p>
        </w:tc>
        <w:tc>
          <w:tcPr>
            <w:tcW w:w="1740" w:type="dxa"/>
            <w:vAlign w:val="center"/>
          </w:tcPr>
          <w:p>
            <w:pPr/>
            <w:r/>
          </w:p>
        </w:tc>
        <w:tc>
          <w:tcPr>
            <w:tcW w:w="2085" w:type="dxa"/>
            <w:vAlign w:val="center"/>
          </w:tcPr>
          <w:p>
            <w:pPr/>
            <w:r/>
          </w:p>
        </w:tc>
        <w:tc>
          <w:tcPr>
            <w:tcW w:w="328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客户端埋点需求确认</w:t>
            </w:r>
          </w:p>
        </w:tc>
        <w:tc>
          <w:tcPr>
            <w:tcW w:w="1740" w:type="dxa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tcW w:w="3285" w:type="dxa"/>
          </w:tcPr>
          <w:p>
            <w:pPr/>
            <w:r/>
          </w:p>
        </w:tc>
      </w:tr>
    </w:tbl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环境隔离：支持配置 `测试/正式` 两套环境地址，确保测试数据不污染正式环境。</w:t>
      </w:r>
    </w:p>
    <w:p>
      <w:pPr>
        <w:ind/>
      </w:pPr>
      <w:r/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权限管理</w:t>
      </w:r>
    </w:p>
    <w:p>
      <w:pPr>
        <w:ind/>
      </w:pPr>
      <w:r>
        <w:t xml:space="preserve">5.1 权限负责人：</w:t>
      </w:r>
    </w:p>
    <w:p>
      <w:pPr>
        <w:ind w:firstLine="480"/>
      </w:pPr>
      <w:r>
        <w:t xml:space="preserve">朱慧敏&amp;杨郁（数据侧），项目PM（研发侧）</w:t>
      </w:r>
    </w:p>
    <w:p>
      <w:pPr>
        <w:ind/>
      </w:pPr>
      <w:r>
        <w:t xml:space="preserve">5.2 权限角色：</w:t>
      </w:r>
    </w:p>
    <w:p>
      <w:pPr>
        <w:ind/>
      </w:pPr>
      <w:r>
        <w:t xml:space="preserve">          文档编辑权限：数据BP&amp;策划</w:t>
      </w:r>
    </w:p>
    <w:p>
      <w:pPr>
        <w:ind w:left="480"/>
      </w:pPr>
      <w:r>
        <w:t xml:space="preserve">   文档查阅权限：程序开发</w:t>
      </w:r>
    </w:p>
    <w:p>
      <w:pPr>
        <w:ind w:left="480"/>
      </w:pPr>
      <w:r>
        <w:t xml:space="preserve">   数据查询及验收权限：程序&amp;测试&amp;数据BP负责</w:t>
      </w:r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（二）服务器数据接入文档及示例</w:t>
      </w:r>
    </w:p>
    <w:p>
      <w:pPr/>
      <w:r>
        <w:t xml:space="preserve">目标：规范后端日志上报，提供标准化的“接入模板”。**</w:t>
      </w:r>
    </w:p>
    <w:p>
      <w:pPr/>
      <w:r>
        <w:t xml:space="preserve">*服务器数据接入文档**：官方文档（基于页面做适配）</w:t>
      </w:r>
    </w:p>
    <w:p>
      <w:pPr/>
      <w:r/>
      <w:hyperlink r:id="rId4">
        <w:r>
          <w:rPr>
            <w:rStyle w:val="hyperlink"/>
          </w:rPr>
          <w:t xml:space="preserve">《服务端数据接入文档》</w:t>
        </w:r>
      </w:hyperlink>
      <w:r/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（三）客户端数据接入文档及示例</w:t>
      </w:r>
    </w:p>
    <w:p>
      <w:pPr/>
      <w:r>
        <w:t xml:space="preserve">目标：降低前端埋点门槛，确保 SDK 配置一致。**</w:t>
      </w:r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SDK 配置指南：</w:t>
      </w:r>
      <w:hyperlink r:id="rId5">
        <w:r>
          <w:rPr>
            <w:sz w:val="28"/>
            <w:b w:val="1"/>
            <w:rStyle w:val="hyperlink"/>
          </w:rPr>
          <w:t xml:space="preserve">引用官方文档并作适当注释</w:t>
        </w:r>
      </w:hyperlink>
      <w:r>
        <w:rPr>
          <w:sz w:val="28"/>
          <w:b w:val="1"/>
        </w:rPr>
      </w:r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漏斗埋点示例：根据“埋点设计”内容，给出示例和说明。</w:t>
      </w:r>
    </w:p>
    <w:tbl>
      <w:tblPr>
        <w:tblStyle w:val="TableGrid"/>
        <w:tblW w:w="0" w:type="auto"/>
      </w:tblPr>
      <w:tblGrid>
        <w:gridCol w:w="1380"/>
        <w:gridCol w:w="1545"/>
        <w:gridCol w:w="1380"/>
        <w:gridCol w:w="1380"/>
        <w:gridCol w:w="1380"/>
        <w:gridCol w:w="5235"/>
        <w:gridCol w:w="2385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/>
            <w:r/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stepId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排序id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是否必经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埋点类型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stepName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380" w:type="dxa"/>
            <w:vMerge w:val="restart"/>
            <w:tcBorders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前置</w:t>
            </w:r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1001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是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前置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启动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1002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是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前置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初始化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38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4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10011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23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关卡内-移动教学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D8D8D8"/>
              </w:rPr>
              <w:t xml:space="preserve">移动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10012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24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关卡内-目标物教学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D8D8D8"/>
              </w:rPr>
              <w:t xml:space="preserve">收集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10013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25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关卡内-左上角目标物教学</w:t>
            </w:r>
          </w:p>
        </w:tc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/>
            <w:r/>
          </w:p>
        </w:tc>
      </w:tr>
    </w:tbl>
    <w:p>
      <w:pPr/>
      <w:r/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数据透传接口说明：</w:t>
      </w:r>
    </w:p>
    <w:p>
      <w:pPr>
        <w:numPr>
          <w:ilvl w:val="1"/>
          <w:numId w:val="2"/>
        </w:numPr>
        <w:spacing/>
      </w:pPr>
      <w:r>
        <w:t xml:space="preserve">一次启动生命周期内保持不变</w:t>
      </w:r>
    </w:p>
    <w:p>
      <w:pPr>
        <w:numPr>
          <w:ilvl w:val="1"/>
          <w:numId w:val="2"/>
        </w:numPr>
        <w:spacing/>
      </w:pPr>
      <w:r>
        <w:rPr>
          <w:color w:val="FE0300"/>
          <w:b w:val="1"/>
        </w:rPr>
        <w:t xml:space="preserve">建议在SDK账号登录接口返回结果后获取</w:t>
      </w:r>
    </w:p>
    <w:p>
      <w:pPr>
        <w:numPr>
          <w:ilvl w:val="1"/>
          <w:numId w:val="2"/>
        </w:numPr>
      </w:pPr>
      <w:r>
        <w:rPr>
          <w:color w:val="FE0300"/>
          <w:b w:val="1"/>
        </w:rPr>
        <w:t xml:space="preserve">！！该部分参数，玩家每次登录、断线重连需更新</w:t>
      </w:r>
    </w:p>
    <w:p>
      <w:pPr>
        <w:pStyle w:val="dingding_code"/>
        <w:shd w:val="clear" w:color="auto" w:fill="D0CECE"/>
      </w:pPr>
      <w:r>
        <w:t xml:space="preserve">// 回调数据为Json字符串</w:t>
        <w:br w:type="textWrapping"/>
        <w:t xml:space="preserve">         </w:t>
        <w:br w:type="textWrapping"/>
        <w:t xml:space="preserve">//此处是同步获取</w:t>
        <w:br w:type="textWrapping"/>
        <w:t xml:space="preserve">string ret = GSUnity.CallString(GSUnityConstants.Module.Analytics, "getTrackingInfo")</w:t>
        <w:br w:type="textWrapping"/>
        <w:t xml:space="preserve"/>
        <w:br w:type="textWrapping"/>
        <w:t xml:space="preserve">异步获取详见文档：https://docs-center.dobest.cn/docs/sdk-service-docs/sdk-service-docs-1tjf2p4um3apl</w:t>
      </w:r>
    </w:p>
    <w:p>
      <w:pPr>
        <w:pStyle w:val="dingding_code"/>
        <w:shd w:val="clear" w:color="auto" w:fill="D0CECE"/>
      </w:pPr>
      <w:r>
        <w:t xml:space="preserve">import GSSDK from "/gssdk/gssdk";</w:t>
        <w:br w:type="textWrapping"/>
        <w:t xml:space="preserve">// 异步获取</w:t>
        <w:br w:type="textWrapping"/>
        <w:t xml:space="preserve">const result = await GSSDK.analytics.getTrackingInfo()</w:t>
        <w:br w:type="textWrapping"/>
        <w:t xml:space="preserve">// 同步获取</w:t>
        <w:br w:type="textWrapping"/>
        <w:t xml:space="preserve">const result = GSSDK.analytics.getTrackingInfoSync()</w:t>
        <w:br w:type="textWrapping"/>
        <w:t xml:space="preserve"/>
        <w:br w:type="textWrapping"/>
        <w:t xml:space="preserve">文档链接：https://docs-center.dobest.cn/docs/h5sdk_access_docs/h5sdk_access_docs-1fufhll5cosr8</w:t>
      </w:r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（四）埋点设计文档</w:t>
      </w:r>
    </w:p>
    <w:p>
      <w:pPr/>
      <w:r>
        <w:rPr>
          <w:b w:val="1"/>
        </w:rPr>
        <w:t xml:space="preserve">目标：兼顾设计和查阅的功能。</w:t>
      </w:r>
    </w:p>
    <w:p>
      <w:pPr/>
      <w:r/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埋点事件清单</w:t>
      </w:r>
    </w:p>
    <w:p>
      <w:pPr/>
      <w:r>
        <w:t xml:space="preserve">    标准事件：标准事件只有接与不接区别，仅做勾选即可。</w:t>
      </w:r>
    </w:p>
    <w:p>
      <w:pPr/>
      <w:r>
        <w:t xml:space="preserve">    自定义事件：事件ID、事件名称、事件触发说明，记录事件新添、变更的时间。（埋点文档自动同步内容，</w:t>
      </w:r>
      <w:r>
        <w:rPr>
          <w:color w:val="FE0300"/>
          <w:b w:val="1"/>
        </w:rPr>
        <w:t xml:space="preserve">开发可编辑开发进度</w:t>
      </w:r>
      <w:r>
        <w:t xml:space="preserve">）</w:t>
      </w:r>
    </w:p>
    <w:tbl>
      <w:tblPr>
        <w:tblStyle w:val="TableGrid"/>
        <w:tblW w:w="0" w:type="auto"/>
      </w:tblPr>
      <w:tblGrid>
        <w:gridCol w:w="2430"/>
        <w:gridCol w:w="5145"/>
        <w:gridCol w:w="2250"/>
        <w:gridCol w:w="1965"/>
        <w:gridCol w:w="2430"/>
      </w:tblGrid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  <w:shd w:val="clear" w:color="auto" w:fill="FFF258"/>
          </w:tcPr>
          <w:p>
            <w:pPr>
              <w:jc w:val="center"/>
            </w:pPr>
            <w:r>
              <w:rPr>
                <w:sz w:val="20"/>
                <w:shd w:val="clear" w:color="auto" w:fill="FFF258"/>
              </w:rPr>
              <w:t xml:space="preserve">事件名称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  <w:shd w:val="clear" w:color="auto" w:fill="FFF258"/>
          </w:tcPr>
          <w:p>
            <w:pPr>
              <w:jc w:val="center"/>
            </w:pPr>
            <w:r>
              <w:rPr>
                <w:sz w:val="20"/>
                <w:shd w:val="clear" w:color="auto" w:fill="FFF258"/>
              </w:rPr>
              <w:t xml:space="preserve">事件描述</w:t>
            </w:r>
          </w:p>
        </w:tc>
        <w:tc>
          <w:tcPr>
            <w:tcW w:w="225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  <w:shd w:val="clear" w:color="auto" w:fill="FFF258"/>
          </w:tcPr>
          <w:p>
            <w:pPr>
              <w:jc w:val="center"/>
            </w:pPr>
            <w:r>
              <w:rPr>
                <w:sz w:val="20"/>
                <w:shd w:val="clear" w:color="auto" w:fill="FFF258"/>
              </w:rPr>
              <w:t xml:space="preserve">埋点上报方</w:t>
            </w:r>
          </w:p>
        </w:tc>
        <w:tc>
          <w:tcPr>
            <w:tcW w:w="196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  <w:shd w:val="clear" w:color="auto" w:fill="FFF258"/>
          </w:tcPr>
          <w:p>
            <w:pPr>
              <w:jc w:val="center"/>
            </w:pPr>
            <w:r>
              <w:rPr>
                <w:sz w:val="20"/>
                <w:shd w:val="clear" w:color="auto" w:fill="FFF258"/>
              </w:rPr>
              <w:t xml:space="preserve">是否接入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  <w:shd w:val="clear" w:color="auto" w:fill="FFF258"/>
          </w:tcPr>
          <w:p>
            <w:pPr>
              <w:jc w:val="center"/>
            </w:pPr>
            <w:r>
              <w:rPr>
                <w:color w:val="FE0300"/>
                <w:b w:val="1"/>
              </w:rPr>
              <w:t xml:space="preserve">是否开发完成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启动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用户打开游戏，初始化SDK</w:t>
            </w:r>
          </w:p>
        </w:tc>
        <w:tc>
          <w:tcPr>
            <w:tcW w:w="225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SDK客户端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账号登录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用户登入游戏，获取账号凭证</w:t>
            </w:r>
          </w:p>
        </w:tc>
        <w:tc>
          <w:tcPr>
            <w:tcW w:w="225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SDK客户端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前置埋点</w:t>
            </w:r>
          </w:p>
        </w:tc>
        <w:tc>
          <w:tcPr>
            <w:tcW w:w="514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在游戏启动到进入游戏的过程打点</w:t>
            </w:r>
          </w:p>
        </w:tc>
        <w:tc>
          <w:tcPr>
            <w:tcW w:w="225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研发客户端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630"/>
        </w:trPr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新手引导</w:t>
            </w:r>
          </w:p>
        </w:tc>
        <w:tc>
          <w:tcPr>
            <w:tcW w:w="514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进入游戏后在新手引导阶段的点位</w:t>
            </w:r>
          </w:p>
        </w:tc>
        <w:tc>
          <w:tcPr>
            <w:tcW w:w="225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研发客户端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升级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游戏每次角色升级时</w:t>
            </w:r>
          </w:p>
        </w:tc>
        <w:tc>
          <w:tcPr>
            <w:tcW w:w="225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SDK客户端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角色登录事件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玩家角色登录游戏时上报</w:t>
            </w:r>
          </w:p>
        </w:tc>
        <w:tc>
          <w:tcPr>
            <w:tcW w:w="225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研发服务器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登出事件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玩家退出游戏/与服务器断开连接时上报</w:t>
            </w:r>
          </w:p>
        </w:tc>
        <w:tc>
          <w:tcPr>
            <w:tcW w:w="225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研发服务器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充值事件</w:t>
            </w:r>
          </w:p>
        </w:tc>
        <w:tc>
          <w:tcPr>
            <w:tcW w:w="5145" w:type="dxa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玩家充值成功时上报</w:t>
            </w:r>
          </w:p>
        </w:tc>
        <w:tc>
          <w:tcPr>
            <w:tcW w:w="225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rPr>
                <w:sz w:val="20"/>
                <w:b w:val="0"/>
              </w:rPr>
              <w:t xml:space="preserve">研发服务器</w:t>
            </w:r>
          </w:p>
        </w:tc>
        <w:tc>
          <w:tcPr>
            <w:tcW w:w="1965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1F2329"/>
              <w:top w:val="single" w:sz="6" w:space="0" w:color="1F2329"/>
              <w:right w:val="single" w:sz="6" w:space="0" w:color="1F2329"/>
              <w:left w:val="single" w:sz="6" w:space="0" w:color="1F2329"/>
            </w:tcBorders>
          </w:tcPr>
          <w:p>
            <w:pPr>
              <w:jc w:val="center"/>
            </w:pPr>
            <w:r>
              <w:t xml:space="preserve">否</w:t>
            </w:r>
          </w:p>
        </w:tc>
      </w:tr>
    </w:tbl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自定义事件管理</w:t>
      </w:r>
    </w:p>
    <w:p>
      <w:pPr/>
      <w:r>
        <w:t xml:space="preserve">    事件内容编辑：字段key值及释义，字段值类型（Int/String/Float）、是否必填设置等</w:t>
      </w:r>
    </w:p>
    <w:p>
      <w:pPr/>
      <w:r>
        <w:t xml:space="preserve">    功能设计：支持批量导入/导出Excel(规范格式)，支持搜索（如：搜索事件ID、事件名称、查看哪些事件都用了`item_id`字段等场景）</w:t>
      </w:r>
    </w:p>
    <w:tbl>
      <w:tblPr>
        <w:tblStyle w:val="TableGrid"/>
        <w:tblW w:w="0" w:type="auto"/>
      </w:tblPr>
      <w:tblGrid>
        <w:gridCol w:w="1950"/>
        <w:gridCol w:w="2355"/>
        <w:gridCol w:w="3570"/>
        <w:gridCol w:w="2505"/>
        <w:gridCol w:w="1950"/>
      </w:tblGrid>
      <w:tr>
        <w:trPr>
          <w:trHeight w:val="0"/>
        </w:trPr>
        <w:tc>
          <w:tcPr>
            <w:tcW w:w="195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000000"/>
            </w:tcBorders>
            <w:shd w:val="clear" w:color="auto" w:fill="AEAAA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AEAAAA"/>
              </w:rPr>
              <w:t xml:space="preserve">事件</w:t>
            </w:r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AEAAA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AEAAAA"/>
              </w:rPr>
              <w:t xml:space="preserve">字段名称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AEAAA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AEAAAA"/>
              </w:rPr>
              <w:t xml:space="preserve">描述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AEAAA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AEAAAA"/>
              </w:rPr>
              <w:t xml:space="preserve">是否必须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  <w:shd w:val="clear" w:color="auto" w:fill="AEAAA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AEAAAA"/>
              </w:rPr>
              <w:t xml:space="preserve">字段类型</w:t>
            </w:r>
          </w:p>
        </w:tc>
      </w:tr>
      <w:tr>
        <w:trPr>
          <w:trHeight w:val="0"/>
        </w:trPr>
        <w:tc>
          <w:tcPr>
            <w:tcW w:w="1950" w:type="dxa"/>
            <w:vMerge w:val="restart"/>
            <w:tcBorders>
              <w:top w:val="single" w:sz="6" w:space="0" w:color="D9D9D9"/>
              <w:right w:val="single" w:sz="6" w:space="0" w:color="D9D9D9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关卡开始</w:t>
            </w:r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event_id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自定义事件ID：20001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stage_uid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关卡唯一ID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stage_type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关卡type，读关卡表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stage_id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关卡id，读关卡表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is_add_exp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增加经验道具是否选择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</w:t>
            </w:r>
          </w:p>
        </w:tc>
      </w:tr>
      <w:tr>
        <w:trPr>
          <w:trHeight w:val="63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is_add_time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增加时间道具是否选择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9D9D9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win_state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连胜状态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9D9D9"/>
              <w:right w:val="single" w:sz="6" w:space="0" w:color="000000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add_exp_lefts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增加经验道具背包数量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EE0E3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000000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int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add_time_lefts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增加时间道具背包数量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EE0E3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</w:rPr>
              <w:t xml:space="preserve">必填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000000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int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  <w:strike w:val="1"/>
              </w:rPr>
              <w:t xml:space="preserve">is_wj</w:t>
            </w:r>
          </w:p>
        </w:tc>
        <w:tc>
          <w:tcPr>
            <w:tcW w:w="357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  <w:strike w:val="1"/>
              </w:rPr>
              <w:t xml:space="preserve">是否无尽状态；1：是，0：否</w:t>
            </w:r>
          </w:p>
        </w:tc>
        <w:tc>
          <w:tcPr>
            <w:tcW w:w="2505" w:type="dxa"/>
            <w:tcBorders>
              <w:bottom w:val="single" w:sz="6" w:space="0" w:color="D9D9D9"/>
              <w:top w:val="single" w:sz="6" w:space="0" w:color="D9D9D9"/>
              <w:right w:val="single" w:sz="6" w:space="0" w:color="DEE0E3"/>
              <w:left w:val="single" w:sz="6" w:space="0" w:color="D9D9D9"/>
            </w:tcBorders>
          </w:tcPr>
          <w:p>
            <w:pPr>
              <w:jc w:val="center"/>
            </w:pPr>
            <w:r>
              <w:rPr>
                <w:sz w:val="22"/>
                <w:strike w:val="1"/>
              </w:rPr>
              <w:t xml:space="preserve">非必填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000000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strike w:val="1"/>
              </w:rPr>
              <w:t xml:space="preserve">int</w:t>
            </w:r>
          </w:p>
        </w:tc>
      </w:tr>
    </w:tbl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漏斗事件管理：与魔方打通</w:t>
      </w:r>
    </w:p>
    <w:tbl>
      <w:tblPr>
        <w:tblStyle w:val="TableGrid"/>
        <w:tblW w:w="0" w:type="auto"/>
      </w:tblPr>
      <w:tblGrid>
        <w:gridCol w:w="1380"/>
        <w:gridCol w:w="1545"/>
        <w:gridCol w:w="1380"/>
        <w:gridCol w:w="1380"/>
        <w:gridCol w:w="1380"/>
        <w:gridCol w:w="5235"/>
        <w:gridCol w:w="2385"/>
      </w:tblGrid>
      <w:tr>
        <w:trPr>
          <w:trHeight w:val="0"/>
        </w:trPr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/>
            <w:r/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stepId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排序id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是否必经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埋点类型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stepName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C6D9F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C6D9F0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380" w:type="dxa"/>
            <w:vMerge w:val="restart"/>
            <w:vAlign w:val="center"/>
            <w:tcBorders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前置</w:t>
            </w:r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1001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是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前置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启动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vAlign w:val="center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1002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是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前置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初始化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380" w:type="dxa"/>
            <w:vMerge w:val="restart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4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10011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23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关卡内-移动教学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D8D8D8"/>
              </w:rPr>
              <w:t xml:space="preserve">移动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10012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24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关卡内-目标物教学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2"/>
                <w:color w:val="000000"/>
                <w:shd w:val="clear" w:color="auto" w:fill="D8D8D8"/>
              </w:rPr>
              <w:t xml:space="preserve">收集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15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10013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25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是</w:t>
            </w:r>
          </w:p>
        </w:tc>
        <w:tc>
          <w:tcPr>
            <w:tcW w:w="13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新手</w:t>
            </w:r>
          </w:p>
        </w:tc>
        <w:tc>
          <w:tcPr>
            <w:tcW w:w="52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>
              <w:jc w:val="center"/>
            </w:pPr>
            <w:r>
              <w:rPr>
                <w:sz w:val="20"/>
                <w:color w:val="000000"/>
                <w:shd w:val="clear" w:color="auto" w:fill="D8D8D8"/>
              </w:rPr>
              <w:t xml:space="preserve">关卡内-左上角目标物教学</w:t>
            </w:r>
          </w:p>
        </w:tc>
        <w:tc>
          <w:tcPr>
            <w:tcW w:w="23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8D8D8"/>
          </w:tcPr>
          <w:p>
            <w:pPr/>
            <w:r/>
          </w:p>
        </w:tc>
      </w:tr>
    </w:tbl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配置表管理：支持批量导入excel，支持搜索（key值、枚举值等）</w:t>
      </w:r>
    </w:p>
    <w:p>
      <w:pPr/>
      <w:r/>
    </w:p>
    <w:p>
      <w:pPr>
        <w:pStyle w:val="dingding-heading2"/>
        <w:ind/>
        <w:spacing w:line="204.70588235294116"/>
      </w:pPr>
      <w:r>
        <w:rPr>
          <w:sz w:val="32"/>
          <w:b w:val="1"/>
        </w:rPr>
        <w:t xml:space="preserve">（五）埋点验收进度</w:t>
      </w:r>
    </w:p>
    <w:p>
      <w:pPr/>
      <w:r>
        <w:t xml:space="preserve">目标：量化验收进度。</w:t>
      </w:r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验收进度统计：分端计算 已验收埋点数 / 本次设计总埋点数</w:t>
      </w:r>
    </w:p>
    <w:p>
      <w:pPr>
        <w:numPr>
          <w:ilvl w:val="1"/>
          <w:numId w:val="3"/>
        </w:numPr>
      </w:pPr>
      <w:r>
        <w:t xml:space="preserve">客户端进度：</w:t>
      </w:r>
      <w:r>
        <w:rPr>
          <w:color w:val="FE0300"/>
          <w:b w:val="1"/>
        </w:rPr>
        <w:t xml:space="preserve">核心事件（需支持分包体下钻）</w:t>
      </w:r>
      <w:r>
        <w:t xml:space="preserve">、自定义埋点</w:t>
      </w:r>
    </w:p>
    <w:p>
      <w:pPr>
        <w:numPr>
          <w:ilvl w:val="1"/>
          <w:numId w:val="3"/>
        </w:numPr>
      </w:pPr>
      <w:r>
        <w:t xml:space="preserve">服务器进度：核心事件、自定义事件</w:t>
      </w:r>
    </w:p>
    <w:p>
      <w:pPr>
        <w:pStyle w:val="dingding-heading3"/>
        <w:numPr>
          <w:ilvl w:val="2"/>
          <w:numId w:val="1"/>
        </w:numPr>
        <w:spacing w:line="204.70588235294116"/>
      </w:pPr>
      <w:r>
        <w:rPr>
          <w:sz w:val="28"/>
          <w:b w:val="1"/>
        </w:rPr>
        <w:t xml:space="preserve">任务看板：将本次版本设计的埋点自动转化为“待验收清单”。——与埋点设计文档打通</w:t>
      </w:r>
    </w:p>
    <w:p>
      <w:pPr>
        <w:numPr>
          <w:ilvl w:val="0"/>
          <w:numId w:val="4"/>
        </w:numPr>
      </w:pPr>
      <w:r>
        <w:t xml:space="preserve">客户端看板</w:t>
      </w:r>
    </w:p>
    <w:p>
      <w:pPr>
        <w:numPr>
          <w:ilvl w:val="0"/>
          <w:numId w:val="4"/>
        </w:numPr>
      </w:pPr>
      <w:r>
        <w:t xml:space="preserve">服务器看板</w:t>
      </w:r>
    </w:p>
    <w:p>
      <w:pPr/>
      <w:r/>
    </w:p>
    <w:tbl>
      <w:tblPr>
        <w:tblStyle w:val="TableGrid"/>
        <w:tblW w:w="0" w:type="auto"/>
      </w:tblPr>
      <w:tblGrid>
        <w:gridCol w:w="7205"/>
        <w:gridCol w:w="7539"/>
      </w:tblGrid>
      <w:tr>
        <w:trPr>
          <w:trHeight w:val="0"/>
        </w:trPr>
        <w:tc>
          <w:tcPr>
            <w:tcW w:w="7205" w:type="dxa"/>
            <w:vAlign w:val="top"/>
            <w:shd w:val="clear" w:color="auto" w:fill="E8F2FE"/>
          </w:tcPr>
          <w:tbl>
            <w:tblPr>
              <w:tblStyle w:val="TableGrid"/>
              <w:tblW w:w="0" w:type="auto"/>
            </w:tblPr>
            <w:tblGrid>
              <w:gridCol w:w="2370"/>
              <w:gridCol w:w="1740"/>
              <w:gridCol w:w="2520"/>
            </w:tblGrid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事件名称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埋点上报方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事件验收进度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启动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SDK客户端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已通过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账号登录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SDK客户端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待确认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前置埋点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研发客户端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异常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新手引导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研发客户端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未触发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自定义事件：10001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研发客户端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待开发</w:t>
                  </w:r>
                </w:p>
              </w:tc>
            </w:tr>
          </w:tbl>
          <w:p/>
        </w:tc>
        <w:tc>
          <w:tcPr>
            <w:tcW w:w="7539" w:type="dxa"/>
            <w:vAlign w:val="top"/>
            <w:shd w:val="clear" w:color="auto" w:fill="FFFAE5"/>
          </w:tcPr>
          <w:tbl>
            <w:tblPr>
              <w:tblStyle w:val="TableGrid"/>
              <w:tblW w:w="0" w:type="auto"/>
            </w:tblPr>
            <w:tblGrid>
              <w:gridCol w:w="2370"/>
              <w:gridCol w:w="1740"/>
              <w:gridCol w:w="2520"/>
            </w:tblGrid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事件名称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埋点上报方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  <w:shd w:val="clear" w:color="auto" w:fill="FFF258"/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shd w:val="clear" w:color="auto" w:fill="FFF258"/>
                    </w:rPr>
                    <w:t xml:space="preserve">事件验收进度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角色登录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研发服务器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已通过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角色登出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研发服务器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待确认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充值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研发服务器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异常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自定义事件：20001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研发服务器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未触发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2"/>
                      <w:color w:val="000000"/>
                    </w:rPr>
                    <w:t xml:space="preserve">自定义事件：20002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研发服务器</w:t>
                  </w:r>
                </w:p>
              </w:tc>
              <w:tc>
                <w:tcPr>
                  <w:vAlign w:val="center"/>
                  <w:tcBorders>
                    <w:bottom w:val="single" w:sz="6" w:space="0" w:color="1F2329"/>
                    <w:top w:val="single" w:sz="6" w:space="0" w:color="1F2329"/>
                    <w:right w:val="single" w:sz="6" w:space="0" w:color="1F2329"/>
                    <w:left w:val="single" w:sz="6" w:space="0" w:color="1F2329"/>
                  </w:tcBorders>
                </w:tcPr>
                <w:p>
                  <w:pPr>
                    <w:jc w:val="center"/>
                  </w:pPr>
                  <w:r>
                    <w:t xml:space="preserve">待开发</w:t>
                  </w:r>
                </w:p>
              </w:tc>
            </w:tr>
          </w:tbl>
          <w:p/>
        </w:tc>
      </w:tr>
    </w:tbl>
    <w:p>
      <w:pPr>
        <w:ind/>
      </w:pPr>
      <w:r>
        <w:rPr>
          <w:color w:val="FE0300"/>
          <w:b w:val="1"/>
        </w:rPr>
        <w:t xml:space="preserve">数据验收流程：</w:t>
      </w:r>
      <w:r>
        <w:t xml:space="preserve">埋点确认--&gt; 程序开发 —&gt;数据上报自动确认 --&gt; 自动确认完成通过后数据BP最终确认</w:t>
      </w:r>
    </w:p>
    <w:p>
      <w:pPr>
        <w:ind/>
      </w:pPr>
      <w:r>
        <w:t xml:space="preserve">对应的自动化状态流转：</w:t>
      </w:r>
    </w:p>
    <w:p>
      <w:pPr/>
      <w:r>
        <w:t xml:space="preserve">    待开发：设计稿中有，但程序还未开发完成</w:t>
      </w:r>
    </w:p>
    <w:p>
      <w:pPr/>
      <w:r>
        <w:t xml:space="preserve">    未触发：设计稿中有，程序开发完成，但从未接收到数据。</w:t>
      </w:r>
    </w:p>
    <w:p>
      <w:pPr/>
      <w:r>
        <w:t xml:space="preserve">    待确认：设计稿中有，自动校验通过，还未最终手动验收确认。</w:t>
      </w:r>
    </w:p>
    <w:p>
      <w:pPr/>
      <w:r>
        <w:t xml:space="preserve">    异常：(设计稿中有，自动校验未通过) or (自动校验通过，手动验收未通过。)</w:t>
      </w:r>
    </w:p>
    <w:p>
      <w:pPr/>
      <w:r>
        <w:t xml:space="preserve">    已通过：设计稿中有，自动校验通过，最终手动验收确认通过。</w:t>
      </w:r>
    </w:p>
    <w:p>
      <w:pPr>
        <w:numPr>
          <w:ilvl w:val="0"/>
          <w:numId w:val="5"/>
        </w:numPr>
      </w:pPr>
      <w:r>
        <w:rPr>
          <w:color w:val="FE0300"/>
          <w:b w:val="1"/>
        </w:rPr>
        <w:t xml:space="preserve">验收进度报告：支持一键导出、推送小闪群</w:t>
      </w:r>
    </w:p>
    <w:p>
      <w:pPr>
        <w:numPr>
          <w:ilvl w:val="0"/>
          <w:numId w:val="5"/>
        </w:numPr>
      </w:pPr>
      <w:r>
        <w:rPr>
          <w:color w:val="FE0300"/>
          <w:b w:val="1"/>
        </w:rPr>
        <w:t xml:space="preserve">节点ddl预警、节点数据自动推送：导出报告推送小闪群</w:t>
      </w:r>
    </w:p>
    <w:p>
      <w:pPr/>
      <w:r/>
    </w:p>
    <w:p>
      <w:pPr/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（六）数据查询验收</w:t>
      </w:r>
    </w:p>
    <w:p>
      <w:pPr/>
      <w:r>
        <w:t xml:space="preserve">目标：数据查询快，标准事件实现自动化验收</w:t>
      </w:r>
    </w:p>
    <w:p>
      <w:pPr>
        <w:numPr>
          <w:ilvl w:val="0"/>
          <w:numId w:val="6"/>
        </w:numPr>
      </w:pPr>
      <w:r>
        <w:rPr>
          <w:color w:val="FE0300"/>
          <w:b w:val="1"/>
        </w:rPr>
        <w:t xml:space="preserve">数据源：kafka or dwd？</w:t>
      </w:r>
    </w:p>
    <w:p>
      <w:pPr>
        <w:numPr>
          <w:ilvl w:val="0"/>
          <w:numId w:val="6"/>
        </w:numPr>
      </w:pPr>
      <w:r>
        <w:t xml:space="preserve">环境隔离</w:t>
      </w:r>
    </w:p>
    <w:p>
      <w:pPr>
        <w:numPr>
          <w:ilvl w:val="0"/>
          <w:numId w:val="6"/>
        </w:numPr>
      </w:pPr>
      <w:r>
        <w:t xml:space="preserve">数据查询快</w:t>
      </w:r>
    </w:p>
    <w:p>
      <w:pPr>
        <w:numPr>
          <w:ilvl w:val="0"/>
          <w:numId w:val="6"/>
        </w:numPr>
      </w:pPr>
      <w:r>
        <w:t xml:space="preserve">支持事件筛选查询</w:t>
      </w:r>
    </w:p>
    <w:p>
      <w:pPr>
        <w:numPr>
          <w:ilvl w:val="0"/>
          <w:numId w:val="6"/>
        </w:numPr>
      </w:pPr>
      <w:r>
        <w:t xml:space="preserve">支持字段精确匹配查询：支持"and"和"or"逻辑**，device_id\user_id\role_id等关键字段即可，无需所有字段</w:t>
      </w:r>
    </w:p>
    <w:p>
      <w:pPr/>
      <w:r/>
    </w:p>
    <w:p>
      <w:pPr>
        <w:numPr>
          <w:ilvl w:val="0"/>
          <w:numId w:val="6"/>
        </w:numPr>
      </w:pPr>
      <w:r>
        <w:t xml:space="preserve">查询结果可视化</w:t>
      </w:r>
    </w:p>
    <w:p>
      <w:pPr/>
      <w:r>
        <w:t xml:space="preserve">    标准事件格式：各标准事件分别展示对应固定字段</w:t>
      </w:r>
    </w:p>
    <w:p>
      <w:pPr/>
      <w:r>
        <w:t xml:space="preserve">   </w:t>
      </w:r>
    </w:p>
    <w:tbl>
      <w:tblPr>
        <w:tblStyle w:val="TableGrid"/>
        <w:tblW w:w="0" w:type="auto"/>
      </w:tblPr>
      <w:tblGrid>
        <w:gridCol w:w="1185"/>
        <w:gridCol w:w="1305"/>
        <w:gridCol w:w="1950"/>
        <w:gridCol w:w="1800"/>
        <w:gridCol w:w="1230"/>
        <w:gridCol w:w="1065"/>
        <w:gridCol w:w="2130"/>
      </w:tblGrid>
      <w:tr>
        <w:trPr>
          <w:trHeight w:val="284"/>
        </w:trPr>
        <w:tc>
          <w:tcPr>
            <w:tcW w:w="1185" w:type="dxa"/>
          </w:tcPr>
          <w:p>
            <w:pPr>
              <w:jc w:val="center"/>
            </w:pPr>
            <w:r>
              <w:t xml:space="preserve">event_id</w:t>
            </w:r>
          </w:p>
        </w:tc>
        <w:tc>
          <w:tcPr>
            <w:tcW w:w="1305" w:type="dxa"/>
          </w:tcPr>
          <w:p>
            <w:pPr>
              <w:jc w:val="center"/>
            </w:pPr>
            <w:r>
              <w:t xml:space="preserve">app_id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device_id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t xml:space="preserve">user_id</w:t>
            </w:r>
          </w:p>
        </w:tc>
        <w:tc>
          <w:tcPr>
            <w:tcW w:w="1230" w:type="dxa"/>
          </w:tcPr>
          <w:p>
            <w:pPr>
              <w:jc w:val="center"/>
            </w:pPr>
            <w:r>
              <w:t xml:space="preserve">channel</w:t>
            </w:r>
          </w:p>
        </w:tc>
        <w:tc>
          <w:tcPr>
            <w:tcW w:w="1065" w:type="dxa"/>
          </w:tcPr>
          <w:p>
            <w:pPr>
              <w:jc w:val="center"/>
            </w:pPr>
            <w:r>
              <w:t xml:space="preserve">os_type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t xml:space="preserve">start_time</w:t>
            </w:r>
          </w:p>
        </w:tc>
      </w:tr>
      <w:tr>
        <w:trPr>
          <w:trHeight w:val="285"/>
        </w:trPr>
        <w:tc>
          <w:tcPr>
            <w:tcW w:w="1185" w:type="dxa"/>
          </w:tcPr>
          <w:p>
            <w:pPr>
              <w:jc w:val="center"/>
            </w:pPr>
            <w:r>
              <w:t xml:space="preserve">201</w:t>
            </w:r>
          </w:p>
        </w:tc>
        <w:tc>
          <w:tcPr>
            <w:tcW w:w="1305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309bd0u93os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t xml:space="preserve">10001_16848</w:t>
            </w:r>
          </w:p>
        </w:tc>
        <w:tc>
          <w:tcPr>
            <w:tcW w:w="1230" w:type="dxa"/>
          </w:tcPr>
          <w:p>
            <w:pPr>
              <w:jc w:val="center"/>
            </w:pPr>
            <w:r>
              <w:t xml:space="preserve">520214</w:t>
            </w:r>
          </w:p>
        </w:tc>
        <w:tc>
          <w:tcPr>
            <w:tcW w:w="1065" w:type="dxa"/>
          </w:tcPr>
          <w:p>
            <w:pPr>
              <w:jc w:val="center"/>
            </w:pPr>
            <w:r>
              <w:t xml:space="preserve">ios-h5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t xml:space="preserve">173201563132</w:t>
            </w:r>
          </w:p>
        </w:tc>
      </w:tr>
    </w:tbl>
    <w:tbl>
      <w:tblPr>
        <w:tblStyle w:val="TableGrid"/>
        <w:tblW w:w="0" w:type="auto"/>
      </w:tblPr>
      <w:tblGrid>
        <w:gridCol w:w="1155"/>
        <w:gridCol w:w="1350"/>
        <w:gridCol w:w="1935"/>
        <w:gridCol w:w="1815"/>
        <w:gridCol w:w="1125"/>
        <w:gridCol w:w="1140"/>
        <w:gridCol w:w="1470"/>
        <w:gridCol w:w="1650"/>
        <w:gridCol w:w="1230"/>
        <w:gridCol w:w="1215"/>
      </w:tblGrid>
      <w:tr>
        <w:trPr>
          <w:trHeight w:val="284"/>
        </w:trPr>
        <w:tc>
          <w:tcPr>
            <w:tcW w:w="1155" w:type="dxa"/>
          </w:tcPr>
          <w:p>
            <w:pPr>
              <w:jc w:val="center"/>
            </w:pPr>
            <w:r>
              <w:t xml:space="preserve">event_id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t xml:space="preserve">app_id</w:t>
            </w:r>
          </w:p>
        </w:tc>
        <w:tc>
          <w:tcPr>
            <w:tcW w:w="1935" w:type="dxa"/>
          </w:tcPr>
          <w:p>
            <w:pPr>
              <w:jc w:val="center"/>
            </w:pPr>
            <w:r>
              <w:t xml:space="preserve">device_id</w:t>
            </w:r>
          </w:p>
        </w:tc>
        <w:tc>
          <w:tcPr>
            <w:tcW w:w="1815" w:type="dxa"/>
          </w:tcPr>
          <w:p>
            <w:pPr>
              <w:jc w:val="center"/>
            </w:pPr>
            <w:r>
              <w:t xml:space="preserve">user_id</w:t>
            </w:r>
          </w:p>
        </w:tc>
        <w:tc>
          <w:tcPr>
            <w:tcW w:w="1125" w:type="dxa"/>
          </w:tcPr>
          <w:p>
            <w:pPr>
              <w:jc w:val="center"/>
            </w:pPr>
            <w:r>
              <w:t xml:space="preserve">role_id</w:t>
            </w:r>
          </w:p>
        </w:tc>
        <w:tc>
          <w:tcPr>
            <w:tcW w:w="1140" w:type="dxa"/>
          </w:tcPr>
          <w:p>
            <w:pPr>
              <w:jc w:val="center"/>
            </w:pPr>
            <w:r>
              <w:t xml:space="preserve">channel</w:t>
            </w:r>
          </w:p>
        </w:tc>
        <w:tc>
          <w:tcPr>
            <w:tcW w:w="1470" w:type="dxa"/>
          </w:tcPr>
          <w:p>
            <w:pPr>
              <w:jc w:val="center"/>
            </w:pPr>
            <w:r>
              <w:t xml:space="preserve">os_type</w:t>
            </w:r>
          </w:p>
        </w:tc>
        <w:tc>
          <w:tcPr>
            <w:tcW w:w="1650" w:type="dxa"/>
          </w:tcPr>
          <w:p>
            <w:pPr>
              <w:jc w:val="center"/>
            </w:pPr>
            <w:r>
              <w:t xml:space="preserve">start_time</w:t>
            </w:r>
          </w:p>
        </w:tc>
        <w:tc>
          <w:tcPr>
            <w:tcW w:w="1230" w:type="dxa"/>
          </w:tcPr>
          <w:p>
            <w:pPr>
              <w:jc w:val="center"/>
            </w:pPr>
            <w:r>
              <w:t xml:space="preserve">user_lev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server</w:t>
            </w:r>
          </w:p>
        </w:tc>
      </w:tr>
      <w:tr>
        <w:trPr>
          <w:trHeight w:val="285"/>
        </w:trPr>
        <w:tc>
          <w:tcPr>
            <w:tcW w:w="1155" w:type="dxa"/>
          </w:tcPr>
          <w:p>
            <w:pPr>
              <w:jc w:val="center"/>
            </w:pPr>
            <w:r>
              <w:t xml:space="preserve">203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1935" w:type="dxa"/>
          </w:tcPr>
          <w:p>
            <w:pPr>
              <w:jc w:val="center"/>
            </w:pPr>
            <w:r>
              <w:t xml:space="preserve">309bd0u93os</w:t>
            </w:r>
          </w:p>
        </w:tc>
        <w:tc>
          <w:tcPr>
            <w:tcW w:w="1815" w:type="dxa"/>
          </w:tcPr>
          <w:p>
            <w:pPr>
              <w:jc w:val="center"/>
            </w:pPr>
            <w:r>
              <w:t xml:space="preserve">10001_16848</w:t>
            </w:r>
          </w:p>
        </w:tc>
        <w:tc>
          <w:tcPr>
            <w:tcW w:w="1125" w:type="dxa"/>
          </w:tcPr>
          <w:p>
            <w:pPr>
              <w:jc w:val="center"/>
            </w:pPr>
            <w:r>
              <w:t xml:space="preserve">100230</w:t>
            </w:r>
          </w:p>
        </w:tc>
        <w:tc>
          <w:tcPr>
            <w:tcW w:w="1140" w:type="dxa"/>
          </w:tcPr>
          <w:p>
            <w:pPr>
              <w:jc w:val="center"/>
            </w:pPr>
            <w:r>
              <w:t xml:space="preserve">520214</w:t>
            </w:r>
          </w:p>
        </w:tc>
        <w:tc>
          <w:tcPr>
            <w:tcW w:w="1470" w:type="dxa"/>
          </w:tcPr>
          <w:p>
            <w:pPr>
              <w:jc w:val="center"/>
            </w:pPr>
            <w:r>
              <w:t xml:space="preserve">ios-h5</w:t>
            </w:r>
          </w:p>
        </w:tc>
        <w:tc>
          <w:tcPr>
            <w:tcW w:w="1650" w:type="dxa"/>
          </w:tcPr>
          <w:p>
            <w:pPr>
              <w:jc w:val="center"/>
            </w:pPr>
            <w:r>
              <w:t xml:space="preserve">173201563</w:t>
            </w:r>
          </w:p>
        </w:tc>
        <w:tc>
          <w:tcPr>
            <w:tcW w:w="1230" w:type="dxa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1002</w:t>
            </w:r>
          </w:p>
        </w:tc>
      </w:tr>
    </w:tbl>
    <w:tbl>
      <w:tblPr>
        <w:tblStyle w:val="TableGrid"/>
        <w:tblW w:w="0" w:type="auto"/>
      </w:tblPr>
      <w:tblGrid>
        <w:gridCol w:w="1140"/>
        <w:gridCol w:w="1380"/>
        <w:gridCol w:w="2070"/>
        <w:gridCol w:w="1620"/>
        <w:gridCol w:w="1125"/>
      </w:tblGrid>
      <w:tr>
        <w:trPr>
          <w:trHeight w:val="284"/>
        </w:trPr>
        <w:tc>
          <w:tcPr>
            <w:tcW w:w="1140" w:type="dxa"/>
          </w:tcPr>
          <w:p>
            <w:pPr>
              <w:jc w:val="center"/>
            </w:pPr>
            <w:r>
              <w:t xml:space="preserve">event_id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t xml:space="preserve">app_id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t xml:space="preserve">start_time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t xml:space="preserve">user_count</w:t>
            </w:r>
          </w:p>
        </w:tc>
        <w:tc>
          <w:tcPr>
            <w:tcW w:w="1125" w:type="dxa"/>
          </w:tcPr>
          <w:p>
            <w:pPr/>
            <w:r>
              <w:t xml:space="preserve">server</w:t>
            </w:r>
          </w:p>
        </w:tc>
      </w:tr>
      <w:tr>
        <w:trPr>
          <w:trHeight w:val="285"/>
        </w:trPr>
        <w:tc>
          <w:tcPr>
            <w:tcW w:w="1140" w:type="dxa"/>
          </w:tcPr>
          <w:p>
            <w:pPr>
              <w:jc w:val="center"/>
            </w:pPr>
            <w:r>
              <w:t xml:space="preserve">207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2070" w:type="dxa"/>
          </w:tcPr>
          <w:p>
            <w:pPr>
              <w:jc w:val="center"/>
            </w:pPr>
            <w:r>
              <w:t xml:space="preserve">173201563100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w="1125" w:type="dxa"/>
          </w:tcPr>
          <w:p>
            <w:pPr>
              <w:jc w:val="right"/>
            </w:pPr>
            <w:r>
              <w:t xml:space="preserve">1002</w:t>
            </w:r>
          </w:p>
        </w:tc>
      </w:tr>
    </w:tbl>
    <w:p>
      <w:pPr/>
      <w:r>
        <w:t xml:space="preserve">    自定义事件格式：自定义事件采用统一格式展示。（非json格式，需处理后以表格格式呈现，处理规则基于埋点文档）</w:t>
      </w:r>
    </w:p>
    <w:tbl>
      <w:tblPr>
        <w:tblStyle w:val="TableGrid"/>
        <w:tblW w:w="0" w:type="auto"/>
      </w:tblPr>
      <w:tblGrid>
        <w:gridCol w:w="1170"/>
        <w:gridCol w:w="1410"/>
        <w:gridCol w:w="1905"/>
        <w:gridCol w:w="1725"/>
        <w:gridCol w:w="1335"/>
        <w:gridCol w:w="1110"/>
        <w:gridCol w:w="1215"/>
        <w:gridCol w:w="1950"/>
        <w:gridCol w:w="4485"/>
      </w:tblGrid>
      <w:tr>
        <w:trPr>
          <w:trHeight w:val="284"/>
        </w:trPr>
        <w:tc>
          <w:tcPr>
            <w:tcW w:w="1170" w:type="dxa"/>
          </w:tcPr>
          <w:p>
            <w:pPr>
              <w:jc w:val="center"/>
            </w:pPr>
            <w:r>
              <w:t xml:space="preserve">event_id</w:t>
            </w:r>
          </w:p>
        </w:tc>
        <w:tc>
          <w:tcPr>
            <w:tcW w:w="1410" w:type="dxa"/>
          </w:tcPr>
          <w:p>
            <w:pPr>
              <w:jc w:val="center"/>
            </w:pPr>
            <w:r>
              <w:t xml:space="preserve">app_id</w:t>
            </w:r>
          </w:p>
        </w:tc>
        <w:tc>
          <w:tcPr>
            <w:tcW w:w="1905" w:type="dxa"/>
          </w:tcPr>
          <w:p>
            <w:pPr>
              <w:jc w:val="center"/>
            </w:pPr>
            <w:r>
              <w:t xml:space="preserve">device_id</w:t>
            </w:r>
          </w:p>
        </w:tc>
        <w:tc>
          <w:tcPr>
            <w:tcW w:w="1725" w:type="dxa"/>
          </w:tcPr>
          <w:p>
            <w:pPr>
              <w:jc w:val="center"/>
            </w:pPr>
            <w:r>
              <w:t xml:space="preserve">user_id</w:t>
            </w:r>
          </w:p>
        </w:tc>
        <w:tc>
          <w:tcPr>
            <w:tcW w:w="1335" w:type="dxa"/>
          </w:tcPr>
          <w:p>
            <w:pPr>
              <w:jc w:val="center"/>
            </w:pPr>
            <w:r>
              <w:t xml:space="preserve">role_id</w:t>
            </w:r>
          </w:p>
        </w:tc>
        <w:tc>
          <w:tcPr>
            <w:tcW w:w="1110" w:type="dxa"/>
          </w:tcPr>
          <w:p>
            <w:pPr>
              <w:jc w:val="center"/>
            </w:pPr>
            <w:r>
              <w:t xml:space="preserve">channel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os_type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start_time</w:t>
            </w:r>
          </w:p>
        </w:tc>
        <w:tc>
          <w:tcPr>
            <w:tcW w:w="4485" w:type="dxa"/>
          </w:tcPr>
          <w:p>
            <w:pPr>
              <w:jc w:val="center"/>
            </w:pPr>
            <w:r>
              <w:t xml:space="preserve">extra_info(埋点文档中解析再拼装)</w:t>
            </w:r>
          </w:p>
        </w:tc>
      </w:tr>
      <w:tr>
        <w:trPr>
          <w:trHeight w:val="630"/>
        </w:trPr>
        <w:tc>
          <w:tcPr>
            <w:tcW w:w="1170" w:type="dxa"/>
          </w:tcPr>
          <w:p>
            <w:pPr>
              <w:jc w:val="center"/>
            </w:pPr>
            <w:r>
              <w:t xml:space="preserve">20001</w:t>
            </w:r>
          </w:p>
        </w:tc>
        <w:tc>
          <w:tcPr>
            <w:tcW w:w="1410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1905" w:type="dxa"/>
          </w:tcPr>
          <w:p>
            <w:pPr>
              <w:jc w:val="center"/>
            </w:pPr>
            <w:r>
              <w:t xml:space="preserve">309bd0u93osd</w:t>
            </w:r>
          </w:p>
        </w:tc>
        <w:tc>
          <w:tcPr>
            <w:tcW w:w="1725" w:type="dxa"/>
          </w:tcPr>
          <w:p>
            <w:pPr>
              <w:jc w:val="center"/>
            </w:pPr>
            <w:r>
              <w:t xml:space="preserve">10001_16848</w:t>
            </w:r>
          </w:p>
        </w:tc>
        <w:tc>
          <w:tcPr>
            <w:tcW w:w="1335" w:type="dxa"/>
          </w:tcPr>
          <w:p>
            <w:pPr>
              <w:jc w:val="center"/>
            </w:pPr>
            <w:r>
              <w:t xml:space="preserve">10023005</w:t>
            </w:r>
          </w:p>
        </w:tc>
        <w:tc>
          <w:tcPr>
            <w:tcW w:w="1110" w:type="dxa"/>
          </w:tcPr>
          <w:p>
            <w:pPr>
              <w:jc w:val="center"/>
            </w:pPr>
            <w:r>
              <w:t xml:space="preserve">520214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ios-h5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173201563132</w:t>
            </w:r>
          </w:p>
        </w:tc>
        <w:tc>
          <w:tcPr>
            <w:tcW w:w="4485" w:type="dxa"/>
          </w:tcPr>
          <w:p>
            <w:pPr>
              <w:jc w:val="center"/>
            </w:pPr>
            <w:r>
              <w:t xml:space="preserve">{"action_type":"paly","roles":14}</w:t>
            </w:r>
          </w:p>
        </w:tc>
      </w:tr>
      <w:tr>
        <w:trPr>
          <w:trHeight w:val="284"/>
        </w:trPr>
        <w:tc>
          <w:tcPr>
            <w:tcW w:w="1170" w:type="dxa"/>
          </w:tcPr>
          <w:p>
            <w:pPr>
              <w:jc w:val="center"/>
            </w:pPr>
            <w:r>
              <w:t xml:space="preserve">20002</w:t>
            </w:r>
          </w:p>
        </w:tc>
        <w:tc>
          <w:tcPr>
            <w:tcW w:w="1410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1905" w:type="dxa"/>
          </w:tcPr>
          <w:p>
            <w:pPr>
              <w:jc w:val="center"/>
            </w:pPr>
            <w:r>
              <w:t xml:space="preserve">309bd0u93osd</w:t>
            </w:r>
          </w:p>
        </w:tc>
        <w:tc>
          <w:tcPr>
            <w:tcW w:w="1725" w:type="dxa"/>
          </w:tcPr>
          <w:p>
            <w:pPr>
              <w:jc w:val="center"/>
            </w:pPr>
            <w:r>
              <w:t xml:space="preserve">10001_16848</w:t>
            </w:r>
          </w:p>
        </w:tc>
        <w:tc>
          <w:tcPr>
            <w:tcW w:w="1335" w:type="dxa"/>
          </w:tcPr>
          <w:p>
            <w:pPr>
              <w:jc w:val="center"/>
            </w:pPr>
            <w:r>
              <w:t xml:space="preserve">10023005</w:t>
            </w:r>
          </w:p>
        </w:tc>
        <w:tc>
          <w:tcPr>
            <w:tcW w:w="1110" w:type="dxa"/>
          </w:tcPr>
          <w:p>
            <w:pPr>
              <w:jc w:val="center"/>
            </w:pPr>
            <w:r>
              <w:t xml:space="preserve">520214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ios-h5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173201563132</w:t>
            </w:r>
          </w:p>
        </w:tc>
        <w:tc>
          <w:tcPr>
            <w:tcW w:w="4485" w:type="dxa"/>
          </w:tcPr>
          <w:p>
            <w:pPr>
              <w:jc w:val="center"/>
            </w:pPr>
            <w:r>
              <w:t xml:space="preserve">{"task_id":10086}</w:t>
            </w:r>
          </w:p>
        </w:tc>
      </w:tr>
      <w:tr>
        <w:trPr>
          <w:trHeight w:val="285"/>
        </w:trPr>
        <w:tc>
          <w:tcPr>
            <w:tcW w:w="1170" w:type="dxa"/>
          </w:tcPr>
          <w:p>
            <w:pPr>
              <w:jc w:val="center"/>
            </w:pPr>
            <w:r>
              <w:t xml:space="preserve">20003</w:t>
            </w:r>
          </w:p>
        </w:tc>
        <w:tc>
          <w:tcPr>
            <w:tcW w:w="1410" w:type="dxa"/>
          </w:tcPr>
          <w:p>
            <w:pPr>
              <w:jc w:val="center"/>
            </w:pPr>
            <w:r>
              <w:t xml:space="preserve">10100042</w:t>
            </w:r>
          </w:p>
        </w:tc>
        <w:tc>
          <w:tcPr>
            <w:tcW w:w="1905" w:type="dxa"/>
          </w:tcPr>
          <w:p>
            <w:pPr>
              <w:jc w:val="center"/>
            </w:pPr>
            <w:r>
              <w:t xml:space="preserve">309bd0u93osd</w:t>
            </w:r>
          </w:p>
        </w:tc>
        <w:tc>
          <w:tcPr>
            <w:tcW w:w="1725" w:type="dxa"/>
          </w:tcPr>
          <w:p>
            <w:pPr>
              <w:jc w:val="center"/>
            </w:pPr>
            <w:r>
              <w:t xml:space="preserve">10001_16848</w:t>
            </w:r>
          </w:p>
        </w:tc>
        <w:tc>
          <w:tcPr>
            <w:tcW w:w="1335" w:type="dxa"/>
          </w:tcPr>
          <w:p>
            <w:pPr>
              <w:jc w:val="center"/>
            </w:pPr>
            <w:r>
              <w:t xml:space="preserve">10023005</w:t>
            </w:r>
          </w:p>
        </w:tc>
        <w:tc>
          <w:tcPr>
            <w:tcW w:w="1110" w:type="dxa"/>
          </w:tcPr>
          <w:p>
            <w:pPr>
              <w:jc w:val="center"/>
            </w:pPr>
            <w:r>
              <w:t xml:space="preserve">520214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t xml:space="preserve">ios-h5</w:t>
            </w:r>
          </w:p>
        </w:tc>
        <w:tc>
          <w:tcPr>
            <w:tcW w:w="1950" w:type="dxa"/>
          </w:tcPr>
          <w:p>
            <w:pPr>
              <w:jc w:val="center"/>
            </w:pPr>
            <w:r>
              <w:t xml:space="preserve">173201563132</w:t>
            </w:r>
          </w:p>
        </w:tc>
        <w:tc>
          <w:tcPr>
            <w:tcW w:w="4485" w:type="dxa"/>
          </w:tcPr>
          <w:p>
            <w:pPr>
              <w:jc w:val="center"/>
            </w:pPr>
            <w:r>
              <w:t xml:space="preserve">{"stage_id":10086,"damage":"200"}</w:t>
            </w:r>
          </w:p>
        </w:tc>
      </w:tr>
    </w:tbl>
    <w:p>
      <w:pPr/>
      <w:r/>
    </w:p>
    <w:p>
      <w:pPr/>
      <w:r>
        <w:t xml:space="preserve">    </w:t>
      </w:r>
      <w:r>
        <w:rPr>
          <w:b w:val="1"/>
        </w:rPr>
        <w:t xml:space="preserve">支持跳转埋点文档：各事件可直接跳转接入文档对应位置</w:t>
      </w:r>
    </w:p>
    <w:p>
      <w:pPr/>
      <w:r>
        <w:t xml:space="preserve">    </w:t>
      </w:r>
      <w:r>
        <w:rPr>
          <w:color w:val="FE0300"/>
          <w:b w:val="1"/>
        </w:rPr>
        <w:t xml:space="preserve">报错查询知识库：报错事件查询"埋点接入问题知识库"，给出提示或建议</w:t>
      </w:r>
    </w:p>
    <w:p>
      <w:pPr/>
      <w:r/>
    </w:p>
    <w:p>
      <w:pPr>
        <w:numPr>
          <w:ilvl w:val="0"/>
          <w:numId w:val="6"/>
        </w:numPr>
      </w:pPr>
      <w:r>
        <w:rPr>
          <w:color w:val="FE0300"/>
          <w:b w:val="1"/>
        </w:rPr>
        <w:t xml:space="preserve">标准事件自动校验</w:t>
      </w:r>
      <w:r>
        <w:t xml:space="preserve">：</w:t>
      </w:r>
    </w:p>
    <w:p>
      <w:pPr/>
      <w:r>
        <w:t xml:space="preserve">    通用字段核验：数据部制定统一规范（</w:t>
      </w:r>
      <w:r>
        <w:rPr>
          <w:color w:val="FE0300"/>
          <w:b w:val="1"/>
        </w:rPr>
        <w:t xml:space="preserve">优先读通用配置，可根据项目特殊情况变更</w:t>
      </w:r>
      <w:r>
        <w:t xml:space="preserve">）</w:t>
      </w:r>
    </w:p>
    <w:p>
      <w:pPr/>
      <w:r>
        <w:t xml:space="preserve">    报错高亮：错误字段直接变红，并弹出错误原因（如：值空缺，值格式不符合预期等）。</w:t>
      </w:r>
    </w:p>
    <w:p>
      <w:pPr/>
      <w:r>
        <w:t xml:space="preserve">    校验结果确认：自动校验通过后，需数据BP手动确认；最终确认状态可变更，自动同步"埋点验收进度"模块</w:t>
      </w:r>
    </w:p>
    <w:p>
      <w:pPr/>
      <w:r/>
    </w:p>
    <w:p>
      <w:pPr>
        <w:numPr>
          <w:ilvl w:val="0"/>
          <w:numId w:val="6"/>
        </w:numPr>
      </w:pPr>
      <w:r>
        <w:rPr>
          <w:color w:val="FE0300"/>
          <w:b w:val="1"/>
        </w:rPr>
        <w:t xml:space="preserve">自定义事件自动校验</w:t>
      </w:r>
      <w:r>
        <w:t xml:space="preserve">：</w:t>
      </w:r>
    </w:p>
    <w:p>
      <w:pPr/>
      <w:r>
        <w:t xml:space="preserve">    通用字段核验：数据BP制定项目规范</w:t>
      </w:r>
    </w:p>
    <w:p>
      <w:pPr/>
      <w:r>
        <w:t xml:space="preserve">    自定义事件字段核验：自动对比上报值与设计稿的类型、必填项、枚举值。（**严格基于埋点文档核对**）</w:t>
      </w:r>
    </w:p>
    <w:p>
      <w:pPr/>
      <w:r>
        <w:t xml:space="preserve">    报错高亮：错误字段直接变红，并弹出错误原因（如：值空缺，值格式不符合预期等）。</w:t>
      </w:r>
    </w:p>
    <w:p>
      <w:pPr/>
      <w:r>
        <w:t xml:space="preserve">    校验结果确认：自动校验通过后，需数据BP手动确认；最终确认状态可变更，自动同步"埋点验收进度"模块</w:t>
      </w:r>
    </w:p>
    <w:p>
      <w:pPr/>
      <w:r/>
    </w:p>
    <w:p>
      <w:pPr>
        <w:numPr>
          <w:ilvl w:val="0"/>
          <w:numId w:val="6"/>
        </w:numPr>
      </w:pPr>
      <w:r>
        <w:rPr>
          <w:color w:val="FE0300"/>
          <w:b w:val="1"/>
        </w:rPr>
        <w:t xml:space="preserve">动态业务逻辑校验</w:t>
      </w:r>
      <w:r>
        <w:t xml:space="preserve">：</w:t>
      </w:r>
    </w:p>
    <w:p>
      <w:pPr>
        <w:ind w:firstLine="480"/>
      </w:pPr>
      <w:r>
        <w:t xml:space="preserve">数据时序确认——同一个角色，登出事件 与 登录事件之间 应该不含服务器数据</w:t>
      </w:r>
    </w:p>
    <w:p>
      <w:pPr>
        <w:ind w:firstLine="480"/>
      </w:pPr>
      <w:r>
        <w:t xml:space="preserve">上下文关联校验——登出时间中的在线时长，为本次登录时间-登出时间</w:t>
      </w:r>
    </w:p>
    <w:p>
      <w:pPr>
        <w:ind w:firstLine="480"/>
      </w:pPr>
      <w:r>
        <w:t xml:space="preserve">双端数据一致性校验 —— 一次验收过程，双端数据中的user_id role_id等标识字段相同</w:t>
      </w:r>
    </w:p>
    <w:p>
      <w:pPr>
        <w:ind w:firstLine="480"/>
      </w:pPr>
      <w:r/>
    </w:p>
    <w:p>
      <w:pPr>
        <w:ind w:firstLine="480"/>
      </w:pPr>
      <w:r/>
    </w:p>
    <w:p>
      <w:pPr/>
      <w:r/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0" w15:restartNumberingAfterBreak="0">
    <w:lvl w:ilvl="2">
      <w:start w:val="1"/>
      <w:numFmt w:val="decimal"/>
      <w:lvlText w:val="%1"/>
      <w:lvlJc w:val="left"/>
      <w:pPr>
        <w:ind w:left="126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4">
    <w:abstractNumId w:val="3"/>
  </w:num>
  <w:num w:numId="6">
    <w:abstractNumId w:val="5"/>
  </w:num>
  <w:num w:numId="3">
    <w:abstractNumId w:val="2"/>
  </w:num>
  <w:num w:numId="5">
    <w:abstractNumId w:val="4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754wJaf4Gv5p6Ad9nL1?utm_scene=person_space" TargetMode="External" />
  <Relationship Id="rId5" Type="http://schemas.openxmlformats.org/officeDocument/2006/relationships/hyperlink" Target="https://docs-center.dobest.cn/docs/sdk-service-docs/sdk-service-docs-1tjf2p4um3apl#ec6o5c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