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小乔智投产品白皮书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404040"/>
          <w:sz w:val="30"/>
        </w:rPr>
        <w:t>面向游戏发行与广告投放场景的 AI 服务操作系统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VNext | 公司内部查看版</w:t>
      </w:r>
    </w:p>
    <w:p>
      <w:pPr>
        <w:jc w:val="center"/>
      </w:pPr>
      <w:r>
        <w:rPr>
          <w:rFonts w:ascii="Noto Sans CJK SC" w:hAnsi="Noto Sans CJK SC" w:eastAsia="Noto Sans CJK SC"/>
          <w:color w:val="777777"/>
          <w:sz w:val="20"/>
        </w:rPr>
        <w:t>2026-06-19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C9DAF8"/>
              <w:start w:val="single" w:sz="6" w:color="C9DAF8"/>
              <w:bottom w:val="single" w:sz="6" w:color="C9DAF8"/>
              <w:end w:val="single" w:sz="6" w:color="C9DAF8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4"/>
              </w:rPr>
              <w:t>定位结论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小乔智投不应被定义为AI聊天工具或BI问数工具，而应升级为面向游戏发行体系的AI服务平台。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它要把需求理解、数据查询、分析诊断、策略建议、业务交付和自动化任务串成闭环，让AI从回答问题走向承接工作。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SC" w:hAnsi="Noto Sans CJK SC" w:eastAsia="Noto Sans CJK SC"/>
          <w:color w:val="777777"/>
          <w:sz w:val="17"/>
        </w:rPr>
        <w:t>密级：公司内部资料 | 不含账号、密钥、代码配置或外部客户敏感信息</w:t>
      </w:r>
    </w:p>
    <w:p>
      <w:r>
        <w:br w:type="page"/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目录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一、产品定位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二、战略判断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三、核心价值与核心指标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四、总体架构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五、五大能力中心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六、核心场景设计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七、服务收敛关系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八、自动化分级与风险控制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九、组织边界与协作分工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十、技术建设原则</w:t>
      </w:r>
    </w:p>
    <w:p>
      <w:pPr>
        <w:spacing w:after="60"/>
      </w:pPr>
      <w:r>
        <w:rPr>
          <w:rFonts w:ascii="Noto Sans CJK SC" w:hAnsi="Noto Sans CJK SC" w:eastAsia="Noto Sans CJK SC"/>
          <w:color w:val="404040"/>
          <w:sz w:val="21"/>
        </w:rPr>
        <w:t>十一、终局目标</w:t>
      </w:r>
    </w:p>
    <w:p>
      <w:r>
        <w:br w:type="page"/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一、产品定位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7365D"/>
          <w:sz w:val="23"/>
        </w:rPr>
        <w:t>小乔智投是面向游戏发行与广告投放场景的 AI 服务操作系统。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它通过自然语言交互、数据智能、行业情报、交付集成和自动化服务能力，承接发行、投放、数据、旧智投和技术团队中的高频服务场景。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小乔智投不是单一聊天机器人，也不是传统BI报表工具，而是能够理解需求、调用工具、编排任务、生成结论、推动交付并逐步自动执行的 AI Service Platform。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EF5FB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C9DAF8"/>
              <w:start w:val="single" w:sz="6" w:color="C9DAF8"/>
              <w:bottom w:val="single" w:sz="6" w:color="C9DAF8"/>
              <w:end w:val="single" w:sz="6" w:color="C9DAF8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4"/>
              </w:rPr>
              <w:t>一句话定位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用AI重构游戏发行服务体系，让AI成为发行体系的统一服务入口、统一数据入口、统一交付入口和统一自动化运行入口。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从</w:t>
            </w:r>
          </w:p>
        </w:tc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升级为</w:t>
            </w:r>
          </w:p>
        </w:tc>
        <w:tc>
          <w:tcPr>
            <w:tcW w:type="dxa" w:w="547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人工驱动服务</w:t>
            </w:r>
          </w:p>
        </w:tc>
        <w:tc>
          <w:tcPr>
            <w:tcW w:type="dxa" w:w="244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AI驱动服务</w:t>
            </w:r>
          </w:p>
        </w:tc>
        <w:tc>
          <w:tcPr>
            <w:tcW w:type="dxa" w:w="547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用户不再依赖人工逐层沟通，由系统理解需求并推进服务。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用户找服务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服务主动找到用户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系统通过巡检、诊断和订阅主动发现问题并通知用户。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专家经验分散在个人</w:t>
            </w:r>
          </w:p>
        </w:tc>
        <w:tc>
          <w:tcPr>
            <w:tcW w:type="dxa" w:w="244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组织能力沉淀在平台</w:t>
            </w:r>
          </w:p>
        </w:tc>
        <w:tc>
          <w:tcPr>
            <w:tcW w:type="dxa" w:w="547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口径、规则、流程、SOP和经验转化为可复用能力。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单点工具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业务闭环</w:t>
            </w:r>
          </w:p>
        </w:tc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贯穿需求、数据、决策、交付和执行。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二、战略判断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2.1 企业AI从问答工具进入业务流程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AI的组织价值不再来自“能不能回答问题”，而来自“能不能嵌入工作流、承接任务、产生经营收益”。因此，小乔智投不能停留在Chat层，而要具备服务编排、任务运行、结果追踪和能力沉淀。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2.2 投放岗位正在发生工作单元重构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投放岗位不会被简单地整体替代，但岗位中的大量工作单元会被AI承接、增强或重新分工。核心判断不是“谁会被AI取代”，而是“哪些工作应该由AI完成，哪些工作必须由人负责，哪些工作需要人机协同”。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18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工作单元类型</w:t>
            </w:r>
          </w:p>
        </w:tc>
        <w:tc>
          <w:tcPr>
            <w:tcW w:type="dxa" w:w="28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AI承接方式</w:t>
            </w:r>
          </w:p>
        </w:tc>
        <w:tc>
          <w:tcPr>
            <w:tcW w:type="dxa" w:w="28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典型例子</w:t>
            </w:r>
          </w:p>
        </w:tc>
        <w:tc>
          <w:tcPr>
            <w:tcW w:type="dxa" w:w="25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产品启示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AI可承接</w:t>
            </w:r>
          </w:p>
        </w:tc>
        <w:tc>
          <w:tcPr>
            <w:tcW w:type="dxa" w:w="28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高频、规则化、可验真、低风险的重复工作</w:t>
            </w:r>
          </w:p>
        </w:tc>
        <w:tc>
          <w:tcPr>
            <w:tcW w:type="dxa" w:w="28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查数、报表生成、指标解释、文档检索、参数检查、异常初筛、工单生成</w:t>
            </w:r>
          </w:p>
        </w:tc>
        <w:tc>
          <w:tcPr>
            <w:tcW w:type="dxa" w:w="252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沉淀为Query、Report、Inspection、Task Center能力。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人机共存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AI提供信息、诊断、建议和证据，人做目标判断、策略取舍和风险确认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ROI下降诊断、创意衰退判断、预算调整建议、归因/回传逻辑解释、跨团队推进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小乔智投要成为优化师和复杂数据/归因/技术逻辑之间的翻译层与辅助决策层。</w:t>
            </w:r>
          </w:p>
        </w:tc>
      </w:tr>
      <w:tr>
        <w:trPr>
          <w:cantSplit/>
        </w:trPr>
        <w:tc>
          <w:tcPr>
            <w:tcW w:type="dxa" w:w="180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人负责</w:t>
            </w:r>
          </w:p>
        </w:tc>
        <w:tc>
          <w:tcPr>
            <w:tcW w:type="dxa" w:w="28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高不确定性、高责任、高业务判断的工作</w:t>
            </w:r>
          </w:p>
        </w:tc>
        <w:tc>
          <w:tcPr>
            <w:tcW w:type="dxa" w:w="28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发行节奏、资源分配、渠道关系、重大预算、核心策略、创意方向、品牌风险</w:t>
            </w:r>
          </w:p>
        </w:tc>
        <w:tc>
          <w:tcPr>
            <w:tcW w:type="dxa" w:w="252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系统提供依据和方案，但不替代最终责任主体。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E0E0E0"/>
              <w:start w:val="single" w:sz="6" w:color="E0E0E0"/>
              <w:bottom w:val="single" w:sz="6" w:color="E0E0E0"/>
              <w:end w:val="single" w:sz="6" w:color="E0E0E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4"/>
              </w:rPr>
              <w:t>关键用户洞察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优化师不应该被要求理解全部归因链路、回传规则、数据口径和异常排查细节。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AI的价值是把这些复杂底层逻辑翻译成优化师能理解、能判断、能采取行动的业务结论。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2.3 媒体平台自动化会提升，而跨媒体经营仍需要统一中枢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头部媒体平台已经持续把AI用于出价、预算、素材、版位和投放优化。小乔智投的机会不是复制单一媒体内部自动化，而是连接跨媒体、跨项目、跨数据源、跨组织流程，成为发行经营中枢。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2.4 接入采集是基础能力，不是产品价值重心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媒体接入、监测回传、数据采集和字段映射非常重要，但它们不是小乔智投的最终价值。它们的作用是保证监测链路、数据链路和报表链路可用，为后续查数、分析、诊断、预测和自动化投放提供基础。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2.5 可信数据和可控运行是企业AI落地前提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小乔智投必须建立在数仓可信指标、旧智投可执行接口、技术侧权限审计与可观测体系之上。AI可以编排和解释，但不能绕过数据治理、权限治理和流程治理。</w:t>
      </w:r>
    </w:p>
    <w:p>
      <w:r>
        <w:br w:type="page"/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三、核心价值与核心指标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3.1 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30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核心价值</w:t>
            </w:r>
          </w:p>
        </w:tc>
        <w:tc>
          <w:tcPr>
            <w:tcW w:type="dxa" w:w="388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要解决的问题</w:t>
            </w:r>
          </w:p>
        </w:tc>
        <w:tc>
          <w:tcPr>
            <w:tcW w:type="dxa" w:w="388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最终体现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提升组织效率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跨团队沟通、重复协作、人工推进、人工支持成本高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服务自助化、分析自助化、交付自动化、运营自动化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提升决策质量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只能事后复盘，无法提前判断风险和机会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更快发现问题、更早识别风险、更准确制定策略、更稳定提升ROI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沉淀组织能力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经验依赖个人，知识分散在文档，规则沉淀在专家脑中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能力资产化、流程标准化、服务规模化、经验可复用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3.2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核心指标</w:t>
            </w:r>
          </w:p>
        </w:tc>
        <w:tc>
          <w:tcPr>
            <w:tcW w:type="dxa" w:w="43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60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衡量意义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AI服务渗透率</w:t>
            </w:r>
          </w:p>
        </w:tc>
        <w:tc>
          <w:tcPr>
            <w:tcW w:type="dxa" w:w="432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通过小乔智投完成的业务服务任务数 / 全部可由小乔智投承接的业务服务任务数</w:t>
            </w:r>
          </w:p>
        </w:tc>
        <w:tc>
          <w:tcPr>
            <w:tcW w:type="dxa" w:w="360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衡量是否成为发行体系统一AI服务入口。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自动化覆盖率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由系统自动完成的标准化步骤数 / 全部可标准化业务步骤数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衡量是否从辅助工具升级为运行系统。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人效提升率</w:t>
            </w:r>
          </w:p>
        </w:tc>
        <w:tc>
          <w:tcPr>
            <w:tcW w:type="dxa" w:w="432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节省工时、缩短周期、减少人工介入 / 原始人工服务成本</w:t>
            </w:r>
          </w:p>
        </w:tc>
        <w:tc>
          <w:tcPr>
            <w:tcW w:type="dxa" w:w="360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衡量是否产生组织级ROI。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四、总体架构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小乔智投由五大能力中心构成。五大中心不是并列功能清单，而是一条完整业务闭环。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59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能力中心</w:t>
            </w:r>
          </w:p>
        </w:tc>
        <w:tc>
          <w:tcPr>
            <w:tcW w:type="dxa" w:w="230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518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核心作用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Conversation OS</w:t>
            </w:r>
          </w:p>
        </w:tc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统一服务入口</w:t>
            </w:r>
          </w:p>
        </w:tc>
        <w:tc>
          <w:tcPr>
            <w:tcW w:type="dxa" w:w="51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理解需求、多轮澄清、服务分诊、上下文管理、任务跟踪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Data Intelligence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统一数据智能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查数、拼表、报表、分析、洞察、创意表现分析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Intelligence Center</w:t>
            </w:r>
          </w:p>
        </w:tc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决策智能中心</w:t>
            </w:r>
          </w:p>
        </w:tc>
        <w:tc>
          <w:tcPr>
            <w:tcW w:type="dxa" w:w="51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行业情报、竞品情报、预测分析、策略建议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Delivery &amp; Integration OS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交付与集成中心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媒体接入、监测回传、数据采集、字段映射、联调交付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AI Service OS</w:t>
            </w:r>
          </w:p>
        </w:tc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自动化服务运行层</w:t>
            </w:r>
          </w:p>
        </w:tc>
        <w:tc>
          <w:tcPr>
            <w:tcW w:type="dxa" w:w="51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任务调度、巡检、排查、诊断、告警、自动化运行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理解需求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获取数据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分析判断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生成方案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推动交付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自动化运行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沉淀能力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五、五大能力中心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5.1 Conversation OS：统一服务入口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Conversation OS 是小乔智投的前台入口，负责把用户自然表达转化为可执行任务。它解决的是用户不知道找谁、不会提需求、不清楚流程、不知道需要提供哪些信息的问题。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理解用户真实诉求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多轮需求澄清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自动补齐上下文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服务识别与分诊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长链路任务管理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服务编排与结果解释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5.2 Data Intelligence：统一数据智能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Data Intelligence帮助用户理解已经发生的事情，让数据获取、报表生成和数据分析自助化。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1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收敛服务</w:t>
            </w:r>
          </w:p>
        </w:tc>
        <w:tc>
          <w:tcPr>
            <w:tcW w:type="dxa" w:w="576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Query</w:t>
            </w:r>
          </w:p>
        </w:tc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查数</w:t>
            </w:r>
          </w:p>
        </w:tc>
        <w:tc>
          <w:tcPr>
            <w:tcW w:type="dxa" w:w="57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消耗、激活、注册、ROI、留存、付费等核心指标查询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Report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拼表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模板报表、多表拼接、Excel导出、定时报表</w:t>
            </w:r>
          </w:p>
        </w:tc>
      </w:tr>
      <w:tr>
        <w:trPr>
          <w:cantSplit/>
        </w:trPr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Analytics</w:t>
            </w:r>
          </w:p>
        </w:tc>
        <w:tc>
          <w:tcPr>
            <w:tcW w:type="dxa" w:w="21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分析</w:t>
            </w:r>
          </w:p>
        </w:tc>
        <w:tc>
          <w:tcPr>
            <w:tcW w:type="dxa" w:w="576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趋势、对比、排名、标签聚合、创意表现分析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Insight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洞察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异常发现、数据解读、业务洞察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5.3 Intelligence Center：决策智能中心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Intelligence Center回答行业正在发生什么、未来可能发生什么、下一步应该怎么做。行业情报既是独立决策输入，也可以作为预测模型的外部特征，提高预测准确率。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Industry Intelligence：行业情报、竞品情报、广告情报、创意情报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Forecast：ROI、消耗、激活、付费、LTV、预算预测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Strategy Advisor：投放建议、创意建议、风险预警、策略推荐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5.4 Delivery &amp; Integration OS：交付与集成中心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Delivery &amp; Integration OS负责广告技术接入、数据接入和联调交付。它不是产品价值重心，但它是保证数据可用、链路可用、自动化可执行的重要基础。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媒体接入需求澄清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监测点击接入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归因结果接收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回传规则配置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数据采集授权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字段含义确认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字段归一化映射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报表需求确认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联调计划生成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工单生成和交付验收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5.5 AI Service OS：自动化服务运行层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AI Service OS是小乔智投的运行层，负责把标准化服务做成可配置、可调度、可追踪、可复用的Runtime能力。排查、诊断、巡检、告警、自动联调、自动广告操作等，都收敛到这一层。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44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7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88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典型场景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Task Center</w:t>
            </w:r>
          </w:p>
        </w:tc>
        <w:tc>
          <w:tcPr>
            <w:tcW w:type="dxa" w:w="374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任务定义、调度执行、状态管理、历史记录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定时报表、定时巡检、交付任务、SOP任务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Inspection Runtime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数据巡检、投放巡检、创意巡检、链路巡检、风险巡检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ROI异常、回传异常、创意衰退、包状态异常</w:t>
            </w:r>
          </w:p>
        </w:tc>
      </w:tr>
      <w:tr>
        <w:trPr>
          <w:cantSplit/>
        </w:trPr>
        <w:tc>
          <w:tcPr>
            <w:tcW w:type="dxa" w:w="244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Diagnosis Runtime</w:t>
            </w:r>
          </w:p>
        </w:tc>
        <w:tc>
          <w:tcPr>
            <w:tcW w:type="dxa" w:w="374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自动排查、自动归因、自动诊断、诊断报告生成</w:t>
            </w:r>
          </w:p>
        </w:tc>
        <w:tc>
          <w:tcPr>
            <w:tcW w:type="dxa" w:w="388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消耗涨但激活没涨、ROI下降、数据缺失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Workflow Runtime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联调自动化、广告自动化、SOP自动化、业务流程自动化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自动联调、自动生成配置、低风险动作自动执行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六、核心场景设计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场景设计应围绕发行和投放工作的主链路展开：看数据、找原因、做判断、推交付、控风险、沉淀经验。接入采集是基础场景之一，但不是唯一重点。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6.1 投放问数与口径解释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用户用自然语言查询消耗、激活、注册、ROI、留存、付费等核心指标，系统自动补齐项目、媒体、时间、维度和口径，并返回可解释结果。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用户提问</w:t>
            </w:r>
          </w:p>
        </w:tc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补齐上下文</w:t>
            </w:r>
          </w:p>
        </w:tc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选择指标口径</w:t>
            </w:r>
          </w:p>
        </w:tc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查询数据</w:t>
            </w:r>
          </w:p>
        </w:tc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解释差异</w:t>
            </w:r>
          </w:p>
        </w:tc>
        <w:tc>
          <w:tcPr>
            <w:tcW w:type="dxa" w:w="1662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支持追问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示例：昨天巨量ROI怎么样？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示例：安卓激活为什么和媒体后台不一样？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示例：这个注册数按自然日还是归因日？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6.2 投放异常诊断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当ROI下降、消耗上涨但激活未增长、消耗为0、注册缺失、付费异常时，系统自动组合查数、对比、链路检查、口径检查和创意分析，输出证据链和结论。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发现异常</w:t>
            </w:r>
          </w:p>
        </w:tc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确认可信数据</w:t>
            </w:r>
          </w:p>
        </w:tc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拆解指标</w:t>
            </w:r>
          </w:p>
        </w:tc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排查链路</w:t>
            </w:r>
          </w:p>
        </w:tc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定位原因</w:t>
            </w:r>
          </w:p>
        </w:tc>
        <w:tc>
          <w:tcPr>
            <w:tcW w:type="dxa" w:w="1662"/>
            <w:shd w:fill="F1F8EE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给出建议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AI承担指标拆解、链路检查和异常归因初筛。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人负责判断是否调整预算、暂停计划或改变发行节奏。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6.3 创意与素材经营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系统按素材、脚本、标签、媒体、计划、人群等维度分析CTR、CVR、成本、ROI和衰退速度，并结合行业情报判断素材趋势。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识别异常素材、疲劳素材、潜力素材和拖累素材。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输出脚本、卖点、画面、题材、投放人群等可行动建议。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沉淀创意知识库，为后续素材生产和投放策略提供参考。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6.4 预算与策略建议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系统结合历史投放、实时表现、预测模型和行业情报，给出预算分配、媒体调整、素材放量、计划暂停或恢复建议。高风险动作默认需要人工确认。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获取目标</w:t>
            </w:r>
          </w:p>
        </w:tc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预测走势</w:t>
            </w:r>
          </w:p>
        </w:tc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生成方案</w:t>
            </w:r>
          </w:p>
        </w:tc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展示依据</w:t>
            </w:r>
          </w:p>
        </w:tc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人工确认</w:t>
            </w:r>
          </w:p>
        </w:tc>
        <w:tc>
          <w:tcPr>
            <w:tcW w:type="dxa" w:w="1662"/>
            <w:shd w:fill="F3F0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执行/跟踪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示例：未来3天ROI是否有下降风险？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示例：这周预算应该向哪些媒体倾斜？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示例：哪些计划建议暂停，依据是什么？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6.5 报表与复盘自动化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拼表不应只是临时合并Excel，而应升级为模板报表和复盘任务的调度能力。系统按模板自动取数、合并多源数据、生成日报/周报/项目复盘，并支持订阅。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日报、周报、项目复盘、渠道复盘、创意复盘。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字段映射、模板取数、多表拼接、自动导出。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异常点自动高亮，支持一键进入诊断。</w:t>
      </w: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6.6 取包、联调与交付SOP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取包和联调不是简单查询包地址，而是发行交付SOP的一部分。系统应能查询包状态、可用性、联调记录、失败原因，并推动测试账号、开发者账号、白名单等准备项。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cantSplit/>
        </w:trPr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确认需求</w:t>
            </w:r>
          </w:p>
        </w:tc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检查包/账号</w:t>
            </w:r>
          </w:p>
        </w:tc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生成配置</w:t>
            </w:r>
          </w:p>
        </w:tc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自动测试</w:t>
            </w:r>
          </w:p>
        </w:tc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记录问题</w:t>
            </w:r>
          </w:p>
        </w:tc>
        <w:tc>
          <w:tcPr>
            <w:tcW w:type="dxa" w:w="1662"/>
            <w:shd w:fill="FCE4D6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转人工/验收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6.7 新媒体与新数据接入支撑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当发行提出新媒体、监测回传或投放数据采集需求时，AI通过多轮对话澄清需求，检查文档、点击参数、回传参数、账号权限、字段含义和报表需求。能自动生成配置的直接调用MCP，不能自动闭环的生成工单并附带上下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E0E0E0"/>
              <w:start w:val="single" w:sz="6" w:color="E0E0E0"/>
              <w:bottom w:val="single" w:sz="6" w:color="E0E0E0"/>
              <w:end w:val="single" w:sz="6" w:color="E0E0E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4"/>
              </w:rPr>
              <w:t>定位提醒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新媒体接入和数据采集是链路建设能力，不应喧宾夺主。它的目标是让监测、数据和报表链路更快可用，最终服务于查数、分析、诊断、预测和自动化投放。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/>
      <w:r>
        <w:rPr>
          <w:rFonts w:ascii="Noto Sans CJK SC" w:hAnsi="Noto Sans CJK SC" w:eastAsia="Noto Sans CJK SC"/>
          <w:b/>
          <w:color w:val="1F4E79"/>
          <w:sz w:val="28"/>
        </w:rPr>
        <w:t>6.8 自动化投放动作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系统未来可以承接自动暂停广告、恢复广告、调整预算、调整出价、创建广告计划、复制计划、上传素材等操作，但必须按风险分级逐步开放。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低风险动作：生成方案、生成工单、生成配置草案、低风险状态检查。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中风险动作：调整小额预算、复制计划、恢复低风险计划，需要人工确认。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高风险动作：暂停核心计划、大额预算调整、出价策略修改，必须审批、审计、可回滚。</w:t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七、服务收敛关系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230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已规划服务</w:t>
            </w:r>
          </w:p>
        </w:tc>
        <w:tc>
          <w:tcPr>
            <w:tcW w:type="dxa" w:w="338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收敛到的能力中心</w:t>
            </w:r>
          </w:p>
        </w:tc>
        <w:tc>
          <w:tcPr>
            <w:tcW w:type="dxa" w:w="439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产品定义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对话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Conversation OS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统一服务入口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查数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Data Intelligence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数据查询服务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拼表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Data Intelligence + AI Service OS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模板报表与调度任务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分析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Data Intelligence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数据分析与洞察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创意追踪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Data Intelligence + Intelligence Center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创意表现分析与创意情报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行业情报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Intelligence Center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外部情报采集与决策辅助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预测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Intelligence Center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ROI、LTV、消耗、预算预测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排查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 Service OS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自动排查与异常定位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诊断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 Service OS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自动归因和诊断报告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取包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Delivery &amp; Integration OS + AI Service OS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业务交付SOP自动化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自动联调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Delivery &amp; Integration OS + AI Service OS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集成交付与联调自动化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新媒体接入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Delivery &amp; Integration OS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媒体监测、回传、配置交付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投放数据采集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Delivery &amp; Integration OS + Data Intelligence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授权、字段映射、报表接入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自动搭建广告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 Service OS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广告工作流自动化</w:t>
            </w:r>
          </w:p>
        </w:tc>
      </w:tr>
      <w:tr>
        <w:trPr>
          <w:cantSplit/>
        </w:trPr>
        <w:tc>
          <w:tcPr>
            <w:tcW w:type="dxa" w:w="230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自动暂停广告</w:t>
            </w:r>
          </w:p>
        </w:tc>
        <w:tc>
          <w:tcPr>
            <w:tcW w:type="dxa" w:w="338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 Service OS</w:t>
            </w:r>
          </w:p>
        </w:tc>
        <w:tc>
          <w:tcPr>
            <w:tcW w:type="dxa" w:w="43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投放执行自动化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自动调预算/出价</w:t>
            </w:r>
          </w:p>
        </w:tc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AI Service OS + Intelligence Center</w:t>
            </w:r>
          </w:p>
        </w:tc>
        <w:tc>
          <w:tcPr>
            <w:tcW w:type="dxa" w:w="43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策略建议与执行闭环</w:t>
            </w:r>
          </w:p>
        </w:tc>
      </w:tr>
    </w:tbl>
    <w:p>
      <w:pPr>
        <w:spacing w:after="40"/>
      </w:pP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八、自动化分级与风险控制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小乔智投不应一开始追求全自动，而应按风险分级演进。越接近预算、出价、暂停广告、回传规则变更等高风险动作，越需要审批、审计和回滚机制。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0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259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能力状态</w:t>
            </w:r>
          </w:p>
        </w:tc>
        <w:tc>
          <w:tcPr>
            <w:tcW w:type="dxa" w:w="640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0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L0</w:t>
            </w:r>
          </w:p>
        </w:tc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信息查询</w:t>
            </w:r>
          </w:p>
        </w:tc>
        <w:tc>
          <w:tcPr>
            <w:tcW w:type="dxa" w:w="640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系统只查数、查文档、查状态。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L1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分析解释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系统给出分析、排查和诊断结论。</w:t>
            </w:r>
          </w:p>
        </w:tc>
      </w:tr>
      <w:tr>
        <w:trPr>
          <w:cantSplit/>
        </w:trPr>
        <w:tc>
          <w:tcPr>
            <w:tcW w:type="dxa" w:w="10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L2</w:t>
            </w:r>
          </w:p>
        </w:tc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建议方案</w:t>
            </w:r>
          </w:p>
        </w:tc>
        <w:tc>
          <w:tcPr>
            <w:tcW w:type="dxa" w:w="640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系统给出下一步建议，但不执行。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L3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半自动执行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系统生成配置、工单或操作方案，由人工确认。</w:t>
            </w:r>
          </w:p>
        </w:tc>
      </w:tr>
      <w:tr>
        <w:trPr>
          <w:cantSplit/>
        </w:trPr>
        <w:tc>
          <w:tcPr>
            <w:tcW w:type="dxa" w:w="10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L4</w:t>
            </w:r>
          </w:p>
        </w:tc>
        <w:tc>
          <w:tcPr>
            <w:tcW w:type="dxa" w:w="2592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低风险自动执行</w:t>
            </w:r>
          </w:p>
        </w:tc>
        <w:tc>
          <w:tcPr>
            <w:tcW w:type="dxa" w:w="6408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系统自动执行低风险、可回滚动作。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L5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高成熟自动闭环</w:t>
            </w:r>
          </w:p>
        </w:tc>
        <w:tc>
          <w:tcPr>
            <w:tcW w:type="dxa" w:w="6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8"/>
              </w:rPr>
              <w:t>稳定场景中实现自动发现、自动诊断、自动执行、自动复盘。</w:t>
            </w:r>
          </w:p>
        </w:tc>
      </w:tr>
    </w:tbl>
    <w:p>
      <w:pPr>
        <w:spacing w:after="40"/>
      </w:pP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涉及预算、出价、暂停广告等高风险动作，默认需要人工确认。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涉及数据口径、字段标准、权限策略，必须遵循数仓和数据治理规范。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涉及新媒体特殊规则、代码适配、非标准协议，自动生成工单并进入人工处理。</w:t>
      </w:r>
    </w:p>
    <w:p>
      <w:pPr>
        <w:pStyle w:val="ListBullet"/>
        <w:spacing w:after="6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所有自动执行必须可审计、可回滚、可追踪。</w:t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九、组织边界与协作分工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2E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6" w:color="E0E0E0"/>
              <w:start w:val="single" w:sz="6" w:color="E0E0E0"/>
              <w:bottom w:val="single" w:sz="6" w:color="E0E0E0"/>
              <w:end w:val="single" w:sz="6" w:color="E0E0E0"/>
            </w:tcBorders>
          </w:tcPr>
          <w:p>
            <w:pPr>
              <w:spacing w:after="10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4"/>
              </w:rPr>
              <w:t>术语说明</w:t>
            </w:r>
          </w:p>
          <w:p>
            <w:pPr>
              <w:spacing w:after="40" w:line="269" w:lineRule="auto"/>
            </w:pPr>
            <w:r>
              <w:rPr>
                <w:rFonts w:ascii="Noto Sans CJK SC" w:hAnsi="Noto Sans CJK SC" w:eastAsia="Noto Sans CJK SC"/>
                <w:color w:val="404040"/>
                <w:sz w:val="21"/>
              </w:rPr>
              <w:t>为避免与部门内“数据开发平台”产生歧义，本文将存量广告投放、包管理、配置、联调和投放操作等既有业务系统能力统一称为“旧智投能力”。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165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团队/系统</w:t>
            </w:r>
          </w:p>
        </w:tc>
        <w:tc>
          <w:tcPr>
            <w:tcW w:type="dxa" w:w="468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负责范围</w:t>
            </w:r>
          </w:p>
        </w:tc>
        <w:tc>
          <w:tcPr>
            <w:tcW w:type="dxa" w:w="3744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与小乔智投的关系</w:t>
            </w:r>
          </w:p>
        </w:tc>
      </w:tr>
      <w:tr>
        <w:trPr>
          <w:cantSplit/>
        </w:trPr>
        <w:tc>
          <w:tcPr>
            <w:tcW w:type="dxa" w:w="1656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数仓</w:t>
            </w:r>
          </w:p>
        </w:tc>
        <w:tc>
          <w:tcPr>
            <w:tcW w:type="dxa" w:w="46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数据资产、指标口径、语义层、数据质量、权限治理、数据血缘、新指标、新宽表、新口径</w:t>
            </w:r>
          </w:p>
        </w:tc>
        <w:tc>
          <w:tcPr>
            <w:tcW w:type="dxa" w:w="374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提供可信数据和统一口径，小乔智投不绕过数仓口径。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小乔智投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自然语言访问、服务编排、任务运行、自动分析、自动排查、自动诊断、自动交付、结果解释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作为AI服务入口和任务编排层，消费数仓和旧智投能力。</w:t>
            </w:r>
          </w:p>
        </w:tc>
      </w:tr>
      <w:tr>
        <w:trPr>
          <w:cantSplit/>
        </w:trPr>
        <w:tc>
          <w:tcPr>
            <w:tcW w:type="dxa" w:w="1656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旧智投</w:t>
            </w:r>
          </w:p>
        </w:tc>
        <w:tc>
          <w:tcPr>
            <w:tcW w:type="dxa" w:w="4680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广告投放平台能力、包管理、媒体配置、监测链接配置、回传规则配置、联调执行接口、投放操作接口、包状态与下载服务</w:t>
            </w:r>
          </w:p>
        </w:tc>
        <w:tc>
          <w:tcPr>
            <w:tcW w:type="dxa" w:w="3744"/>
            <w:shd w:fill="FAFAFA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提供可调用、可执行、可配置的业务能力，小乔智投通过MCP/API/Workflow编排调用。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技术团队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模型服务、Agent框架、MCP治理、Workflow引擎、权限审计、任务调度、可观测、稳定性保障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color w:val="404040"/>
                <w:sz w:val="17"/>
              </w:rPr>
              <w:t>提供底层技术平台能力，保障可控、安全、可追踪。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7365D"/>
          <w:sz w:val="21"/>
        </w:rPr>
        <w:t>原则：数仓建设可信数据，旧智投提供可执行业务能力，技术团队保障底层可靠性，小乔智投负责编排服务并完成任务。</w:t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十、技术建设原则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Runtime优先，不做单点脚本：巡检、诊断、联调、接入和广告操作应沉淀为可配置、可复用、可调度的Runtime能力。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Workflow优先，Agent辅助：高频标准流程用Workflow保证稳定性，复杂判断和自然语言理解由Agent辅助完成。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证据链优先，避免黑盒结论：所有查数、分析、排查、诊断、预测和建议都需要展示数据来源、指标口径、查询条件、对比基准、异常证据和建议理由。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人工兜底优先，逐步提升自动化：不能自动闭环的场景自动生成工单、补齐上下文、转人工处理。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权限和审计优先：所有涉及数据访问、配置修改、广告操作、预算调整、回传规则变更的动作，必须有权限控制、审批机制和操作审计。</w:t>
      </w:r>
    </w:p>
    <w:p>
      <w:pPr>
        <w:pStyle w:val="ListNumber"/>
        <w:spacing w:after="80" w:line="269" w:lineRule="auto"/>
      </w:pPr>
      <w:r>
        <w:rPr>
          <w:rFonts w:ascii="Noto Sans CJK SC" w:hAnsi="Noto Sans CJK SC" w:eastAsia="Noto Sans CJK SC"/>
          <w:color w:val="404040"/>
          <w:sz w:val="21"/>
        </w:rPr>
        <w:t>评测体系优先：持续评测意图识别、服务路由、数据准确性、诊断可信度、任务成功率和自动化动作安全性。</w:t>
      </w:r>
    </w:p>
    <w:p>
      <w:pPr>
        <w:pStyle w:val="Heading1"/>
        <w:spacing w:before="240" w:after="160"/>
      </w:pPr>
      <w:r/>
      <w:r>
        <w:rPr>
          <w:rFonts w:ascii="Noto Sans CJK SC" w:hAnsi="Noto Sans CJK SC" w:eastAsia="Noto Sans CJK SC"/>
          <w:b/>
          <w:color w:val="17365D"/>
          <w:sz w:val="36"/>
        </w:rPr>
        <w:t>十一、终局目标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color w:val="404040"/>
          <w:sz w:val="21"/>
        </w:rPr>
        <w:t>小乔智投最终要成为游戏发行体系的四个统一入口：统一服务入口、统一数据入口、统一交付入口、统一自动化运行入口。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理解需求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获取数据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分析问题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判断策略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推动交付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自动化运行</w:t>
            </w:r>
          </w:p>
        </w:tc>
        <w:tc>
          <w:tcPr>
            <w:tcW w:type="dxa" w:w="1425"/>
            <w:shd w:fill="EEF5FB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404040"/>
                <w:sz w:val="17"/>
              </w:rPr>
              <w:t>复盘沉淀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777777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777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6"/>
      </w:rPr>
      <w:t>公司内部资料 | 小乔智投 AI服务平台白皮书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小乔智投产品白皮书 VNext</dc:title>
  <dc:subject>面向游戏发行与广告投放场景的AI服务操作系统</dc:subject>
  <dc:creator>小乔智投项目组</dc:creator>
  <cp:keywords>小乔智投, AI服务平台, 游戏发行, 广告投放, AI Runtime, Conversation 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