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小乔智投 AI服务平台产品白皮书</w:t>
      </w:r>
    </w:p>
    <w:p>
      <w:pPr>
        <w:jc w:val="center"/>
      </w:pPr>
      <w:r>
        <w:rPr>
          <w:rFonts w:ascii="Noto Sans CJK SC" w:hAnsi="Noto Sans CJK SC" w:eastAsia="Noto Sans CJK SC"/>
          <w:color w:val="1F4E79"/>
          <w:sz w:val="27"/>
        </w:rPr>
        <w:t>面向游戏发行与广告投放场景的 AI Service Platform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color w:val="5B677A"/>
          <w:sz w:val="21"/>
        </w:rPr>
        <w:t>VNext 内部版｜2026-06-19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3269"/>
            <w:shd w:fill="EAF4FB"/>
            <w:tcBorders>
              <w:top w:sz="8" w:val="single" w:color="9CC6DF"/>
              <w:left w:sz="8" w:val="single" w:color="9CC6DF"/>
              <w:bottom w:sz="8" w:val="single" w:color="9CC6DF"/>
              <w:right w:sz="8" w:val="single" w:color="9CC6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22"/>
              </w:rPr>
              <w:t>提升组织效率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B677A"/>
                <w:sz w:val="17"/>
              </w:rPr>
              <w:t>服务自助化｜交付自动化｜运营自动化</w:t>
            </w:r>
          </w:p>
        </w:tc>
        <w:tc>
          <w:tcPr>
            <w:tcW w:type="dxa" w:w="3269"/>
            <w:shd w:fill="D9EAF7"/>
            <w:tcBorders>
              <w:top w:sz="8" w:val="single" w:color="9CC6DF"/>
              <w:left w:sz="8" w:val="single" w:color="9CC6DF"/>
              <w:bottom w:sz="8" w:val="single" w:color="9CC6DF"/>
              <w:right w:sz="8" w:val="single" w:color="9CC6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22"/>
              </w:rPr>
              <w:t>提升决策质量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B677A"/>
                <w:sz w:val="17"/>
              </w:rPr>
              <w:t>数据智能｜行业情报｜预测分析</w:t>
            </w:r>
          </w:p>
        </w:tc>
        <w:tc>
          <w:tcPr>
            <w:tcW w:type="dxa" w:w="3269"/>
            <w:shd w:fill="EAF4FB"/>
            <w:tcBorders>
              <w:top w:sz="8" w:val="single" w:color="9CC6DF"/>
              <w:left w:sz="8" w:val="single" w:color="9CC6DF"/>
              <w:bottom w:sz="8" w:val="single" w:color="9CC6DF"/>
              <w:right w:sz="8" w:val="single" w:color="9CC6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22"/>
              </w:rPr>
              <w:t>沉淀组织能力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5B677A"/>
                <w:sz w:val="17"/>
              </w:rPr>
              <w:t>知识资产化｜流程标准化｜能力复用</w:t>
            </w:r>
          </w:p>
        </w:tc>
      </w:tr>
    </w:tbl>
    <w:p/>
    <w:p>
      <w:pPr>
        <w:spacing w:before="4200"/>
        <w:jc w:val="center"/>
      </w:pPr>
      <w:r>
        <w:rPr>
          <w:rFonts w:ascii="Noto Sans CJK SC" w:hAnsi="Noto Sans CJK SC" w:eastAsia="Noto Sans CJK SC"/>
          <w:color w:val="5B677A"/>
          <w:sz w:val="19"/>
        </w:rPr>
        <w:t>适用对象：老板、数据部负责人、发行负责人、产品VP、投放负责人、技术负责人</w:t>
      </w:r>
    </w:p>
    <w:p>
      <w:pPr>
        <w:jc w:val="center"/>
      </w:pPr>
      <w:r>
        <w:rPr>
          <w:rFonts w:ascii="Noto Sans CJK SC" w:hAnsi="Noto Sans CJK SC" w:eastAsia="Noto Sans CJK SC"/>
          <w:color w:val="5B677A"/>
          <w:sz w:val="19"/>
        </w:rPr>
        <w:t>文档属性：公司内部可查看｜战略规划与产品架构白皮书</w:t>
      </w:r>
    </w:p>
    <w:p>
      <w:r>
        <w:br w:type="page"/>
      </w:r>
    </w:p>
    <w:p>
      <w:pPr>
        <w:pStyle w:val="Heading1"/>
        <w:spacing w:before="280" w:after="120"/>
        <w:pBdr>
          <w:bottom w:val="single" w:sz="8" w:space="4" w:color="D9EAF7"/>
        </w:pBdr>
      </w:pPr>
      <w:r>
        <w:rPr>
          <w:rFonts w:ascii="Noto Sans CJK SC" w:hAnsi="Noto Sans CJK SC" w:eastAsia="Noto Sans CJK SC"/>
          <w:b/>
          <w:color w:val="17365D"/>
          <w:sz w:val="36"/>
        </w:rPr>
        <w:t>0. 修订说明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本白皮书基于前期关于小乔智投的产品定位、服务收敛、AI Runtime、Conversation OS、数据智能、交付集成、自动化任务等讨论进行整合，并按六类关键角色视角重新评审。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重要修订：在“与数仓、旧智投、技术团队的边界”中，原“平台服务负责”统一改为“旧智投负责”。原因是部门内另有“数据开发平台”，继续使用“平台服务”容易产生歧义。本文中“旧智投”指现有广告投放/广告技术系统中已沉淀的接口、配置、包管理、联调、投放操作等服务能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EAF4FB"/>
            <w:tcBorders>
              <w:top w:sz="8" w:val="single" w:color="9CC6DF"/>
              <w:left w:sz="8" w:val="single" w:color="9CC6DF"/>
              <w:bottom w:sz="8" w:val="single" w:color="9CC6DF"/>
              <w:right w:sz="8" w:val="single" w:color="9CC6DF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65D"/>
                <w:sz w:val="23"/>
              </w:rPr>
              <w:t>文档原则</w:t>
            </w:r>
          </w:p>
          <w:p>
            <w:pPr>
              <w:spacing w:line="264" w:lineRule="auto" w:after="40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本文不展开详细阶段排期，重点定义产品定位、核心价值、核心指标、能力架构、职责边界与技术治理原则，便于公司内部达成统一认知。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  <w:pBdr>
          <w:bottom w:val="single" w:sz="8" w:space="4" w:color="D9EAF7"/>
        </w:pBdr>
      </w:pPr>
      <w:r>
        <w:rPr>
          <w:rFonts w:ascii="Noto Sans CJK SC" w:hAnsi="Noto Sans CJK SC" w:eastAsia="Noto Sans CJK SC"/>
          <w:b/>
          <w:color w:val="17365D"/>
          <w:sz w:val="36"/>
        </w:rPr>
        <w:t>1. 执行摘要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小乔智投应从“AI对话助手”升级为面向游戏发行与广告投放场景的 AI服务操作系统。它不是单一聊天机器人，也不是传统BI报表工具，而是一个能够理解需求、调用工具、编排任务、生成结论、推动交付并逐步自动执行的 AI Service Platform。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它要承接发行、投放、数据、技术和运营支持中的高频服务场景，包括查数、拼表、分析、排查、诊断、取包、联调、新媒体接入、监测回传接入、投放数据采集接入、报表接入、巡检告警、广告自动化操作等。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EAF4FB"/>
            <w:tcBorders>
              <w:top w:sz="8" w:val="single" w:color="9CC6DF"/>
              <w:left w:sz="8" w:val="single" w:color="9CC6DF"/>
              <w:bottom w:sz="8" w:val="single" w:color="9CC6DF"/>
              <w:right w:sz="8" w:val="single" w:color="9CC6DF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65D"/>
                <w:sz w:val="23"/>
              </w:rPr>
              <w:t>一句话定位</w:t>
            </w:r>
          </w:p>
          <w:p>
            <w:pPr>
              <w:spacing w:line="264" w:lineRule="auto" w:after="40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小乔智投的终局不是“AI问答”，而是让AI成为游戏发行体系中的一线服务人员、数据分析师、交付经理和自动化执行系统。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  <w:pBdr>
          <w:bottom w:val="single" w:sz="8" w:space="4" w:color="D9EAF7"/>
        </w:pBdr>
      </w:pPr>
      <w:r>
        <w:rPr>
          <w:rFonts w:ascii="Noto Sans CJK SC" w:hAnsi="Noto Sans CJK SC" w:eastAsia="Noto Sans CJK SC"/>
          <w:b/>
          <w:color w:val="17365D"/>
          <w:sz w:val="36"/>
        </w:rPr>
        <w:t>2. 六类角色评审摘要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从老板、数据部负责人、发行负责人、产品VP、投放负责人、技术负责人六个视角看，当前规划方向正确，但必须从“功能规划”升级为“经营级产品规划”。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rHeight w:hRule="auto"/>
        </w:trPr>
        <w:tc>
          <w:tcPr>
            <w:tcW w:type="dxa" w:w="1587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94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核心关注</w:t>
            </w:r>
          </w:p>
        </w:tc>
        <w:tc>
          <w:tcPr>
            <w:tcW w:type="dxa" w:w="453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10分版本应强化的内容</w:t>
            </w:r>
          </w:p>
        </w:tc>
      </w:tr>
      <w:tr>
        <w:trPr>
          <w:trHeight w:hRule="auto"/>
        </w:trPr>
        <w:tc>
          <w:tcPr>
            <w:tcW w:type="dxa" w:w="1587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老板</w:t>
            </w:r>
          </w:p>
        </w:tc>
        <w:tc>
          <w:tcPr>
            <w:tcW w:type="dxa" w:w="294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是否降本、提效、提ROI、沉淀组织能力</w:t>
            </w:r>
          </w:p>
        </w:tc>
        <w:tc>
          <w:tcPr>
            <w:tcW w:type="dxa" w:w="453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把产品定义为AI服务操作系统，用AI重构发行、投放、数据、交付和运营支持流程。</w:t>
            </w:r>
          </w:p>
        </w:tc>
      </w:tr>
      <w:tr>
        <w:trPr>
          <w:trHeight w:hRule="auto"/>
        </w:trPr>
        <w:tc>
          <w:tcPr>
            <w:tcW w:type="dxa" w:w="1587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数据部负责人</w:t>
            </w:r>
          </w:p>
        </w:tc>
        <w:tc>
          <w:tcPr>
            <w:tcW w:type="dxa" w:w="294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口径是否一致、权限是否合规、结果是否可追溯</w:t>
            </w:r>
          </w:p>
        </w:tc>
        <w:tc>
          <w:tcPr>
            <w:tcW w:type="dxa" w:w="453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明确数仓与小乔智投边界：数仓建设可信数据，小乔智投负责消费、编排和服务化。</w:t>
            </w:r>
          </w:p>
        </w:tc>
      </w:tr>
      <w:tr>
        <w:trPr>
          <w:trHeight w:hRule="auto"/>
        </w:trPr>
        <w:tc>
          <w:tcPr>
            <w:tcW w:type="dxa" w:w="1587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发行负责人</w:t>
            </w:r>
          </w:p>
        </w:tc>
        <w:tc>
          <w:tcPr>
            <w:tcW w:type="dxa" w:w="294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新媒体接入、监测回传、数据采集和联调是否更快</w:t>
            </w:r>
          </w:p>
        </w:tc>
        <w:tc>
          <w:tcPr>
            <w:tcW w:type="dxa" w:w="453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把Delivery &amp; Integration OS提升为核心能力，降低跨团队推进成本。</w:t>
            </w:r>
          </w:p>
        </w:tc>
      </w:tr>
      <w:tr>
        <w:trPr>
          <w:trHeight w:hRule="auto"/>
        </w:trPr>
        <w:tc>
          <w:tcPr>
            <w:tcW w:type="dxa" w:w="1587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产品VP</w:t>
            </w:r>
          </w:p>
        </w:tc>
        <w:tc>
          <w:tcPr>
            <w:tcW w:type="dxa" w:w="294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产品抽象是否聚焦，是否形成闭环体验</w:t>
            </w:r>
          </w:p>
        </w:tc>
        <w:tc>
          <w:tcPr>
            <w:tcW w:type="dxa" w:w="453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用“理解需求→获取数据→判断问题→推动交付→自动执行→沉淀能力”统一五大能力中心。</w:t>
            </w:r>
          </w:p>
        </w:tc>
      </w:tr>
      <w:tr>
        <w:trPr>
          <w:trHeight w:hRule="auto"/>
        </w:trPr>
        <w:tc>
          <w:tcPr>
            <w:tcW w:type="dxa" w:w="1587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投放负责人</w:t>
            </w:r>
          </w:p>
        </w:tc>
        <w:tc>
          <w:tcPr>
            <w:tcW w:type="dxa" w:w="294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能否快速判断问题、给建议，并安全执行投放动作</w:t>
            </w:r>
          </w:p>
        </w:tc>
        <w:tc>
          <w:tcPr>
            <w:tcW w:type="dxa" w:w="453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建立投放动作自动化分级，先建议、再半自动、后低风险自动执行。</w:t>
            </w:r>
          </w:p>
        </w:tc>
      </w:tr>
      <w:tr>
        <w:trPr>
          <w:trHeight w:hRule="auto"/>
        </w:trPr>
        <w:tc>
          <w:tcPr>
            <w:tcW w:type="dxa" w:w="1587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技术负责人</w:t>
            </w:r>
          </w:p>
        </w:tc>
        <w:tc>
          <w:tcPr>
            <w:tcW w:type="dxa" w:w="294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Agent是否可控，任务是否可追踪，自动化是否可审计</w:t>
            </w:r>
          </w:p>
        </w:tc>
        <w:tc>
          <w:tcPr>
            <w:tcW w:type="dxa" w:w="453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坚持Workflow优先、Agent辅助、证据链优先、权限审计优先、人工兜底优先。</w:t>
            </w:r>
          </w:p>
        </w:tc>
      </w:tr>
    </w:tbl>
    <w:p>
      <w:pPr>
        <w:pStyle w:val="Heading1"/>
        <w:spacing w:before="280" w:after="120"/>
        <w:pBdr>
          <w:bottom w:val="single" w:sz="8" w:space="4" w:color="D9EAF7"/>
        </w:pBdr>
      </w:pPr>
      <w:r>
        <w:rPr>
          <w:rFonts w:ascii="Noto Sans CJK SC" w:hAnsi="Noto Sans CJK SC" w:eastAsia="Noto Sans CJK SC"/>
          <w:b/>
          <w:color w:val="17365D"/>
          <w:sz w:val="36"/>
        </w:rPr>
        <w:t>3. 战略判断</w:t>
      </w:r>
    </w:p>
    <w:p>
      <w:pPr>
        <w:pStyle w:val="Heading2"/>
        <w:spacing w:before="200" w:after="80"/>
      </w:pPr>
      <w:r>
        <w:rPr>
          <w:rFonts w:ascii="Noto Sans CJK SC" w:hAnsi="Noto Sans CJK SC" w:eastAsia="Noto Sans CJK SC"/>
          <w:b/>
          <w:color w:val="1F4E79"/>
          <w:sz w:val="28"/>
        </w:rPr>
        <w:t>3.1 AI从问答助手进入业务流程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企业AI的价值不再来自“能不能回答问题”，而来自“能不能嵌入工作流、完成任务、产生经营收益”。行业研究表明，组织要捕获AI价值，需要重构流程、建立治理和评测机制，而不是停留在零散试点或个人效率工具。[1][2]</w:t>
      </w:r>
    </w:p>
    <w:p>
      <w:pPr>
        <w:pStyle w:val="Heading2"/>
        <w:spacing w:before="200" w:after="80"/>
      </w:pPr>
      <w:r>
        <w:rPr>
          <w:rFonts w:ascii="Noto Sans CJK SC" w:hAnsi="Noto Sans CJK SC" w:eastAsia="Noto Sans CJK SC"/>
          <w:b/>
          <w:color w:val="1F4E79"/>
          <w:sz w:val="28"/>
        </w:rPr>
        <w:t>3.2 广告投放正在走向平台自动化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Google Performance Max、Meta Advantage+等广告产品持续将AI用于出价、版位、素材、预算和投放优化。小乔智投的机会不是重复单一媒体平台的自动化，而是成为跨媒体、跨项目、跨数据源的发行经营中枢。[3][4][5]</w:t>
      </w:r>
    </w:p>
    <w:p>
      <w:pPr>
        <w:pStyle w:val="Heading2"/>
        <w:spacing w:before="200" w:after="80"/>
      </w:pPr>
      <w:r>
        <w:rPr>
          <w:rFonts w:ascii="Noto Sans CJK SC" w:hAnsi="Noto Sans CJK SC" w:eastAsia="Noto Sans CJK SC"/>
          <w:b/>
          <w:color w:val="1F4E79"/>
          <w:sz w:val="28"/>
        </w:rPr>
        <w:t>3.3 发行服务需要从人工工单升级为AI Runtime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媒体接入、监测回传、投放数据采集、字段映射、联调测试、排查诊断、报表生成，本质都是可标准化、可编排、可沉淀的服务流程。广告技术生态本身高度依赖标准、接口、参数、端点和回传机制，这为AI Runtime承接任务配置、执行、检查和交付提供了现实基础。[6][7][8]</w:t>
      </w:r>
    </w:p>
    <w:p>
      <w:pPr>
        <w:pStyle w:val="Heading1"/>
        <w:spacing w:before="280" w:after="120"/>
        <w:pBdr>
          <w:bottom w:val="single" w:sz="8" w:space="4" w:color="D9EAF7"/>
        </w:pBdr>
      </w:pPr>
      <w:r>
        <w:rPr>
          <w:rFonts w:ascii="Noto Sans CJK SC" w:hAnsi="Noto Sans CJK SC" w:eastAsia="Noto Sans CJK SC"/>
          <w:b/>
          <w:color w:val="17365D"/>
          <w:sz w:val="36"/>
        </w:rPr>
        <w:t>4. 产品定位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/>
          <w:color w:val="17365D"/>
          <w:sz w:val="24"/>
        </w:rPr>
        <w:t>小乔智投是面向游戏发行与广告投放场景的 AI服务操作系统。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它通过自然语言交互、数据智能、行业情报、交付集成和自动化执行能力，承接发行、投放、数据、技术和运营支持中的高频服务场景。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产品目标是从“人工驱动服务”升级为“AI驱动服务”，从“用户找服务”升级为“服务主动找到用户”，从“专家经验分散在个人”升级为“组织能力沉淀在平台”。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rHeight w:hRule="auto"/>
        </w:trPr>
        <w:tc>
          <w:tcPr>
            <w:tcW w:type="dxa" w:w="294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294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升级方向</w:t>
            </w:r>
          </w:p>
        </w:tc>
        <w:tc>
          <w:tcPr>
            <w:tcW w:type="dxa" w:w="294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目标状态</w:t>
            </w:r>
          </w:p>
        </w:tc>
      </w:tr>
      <w:tr>
        <w:trPr>
          <w:trHeight w:hRule="auto"/>
        </w:trPr>
        <w:tc>
          <w:tcPr>
            <w:tcW w:type="dxa" w:w="294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人工问答与人工支持</w:t>
            </w:r>
          </w:p>
        </w:tc>
        <w:tc>
          <w:tcPr>
            <w:tcW w:type="dxa" w:w="294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AI理解需求并组织服务</w:t>
            </w:r>
          </w:p>
        </w:tc>
        <w:tc>
          <w:tcPr>
            <w:tcW w:type="dxa" w:w="294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AI服务入口</w:t>
            </w:r>
          </w:p>
        </w:tc>
      </w:tr>
      <w:tr>
        <w:trPr>
          <w:trHeight w:hRule="auto"/>
        </w:trPr>
        <w:tc>
          <w:tcPr>
            <w:tcW w:type="dxa" w:w="294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人工取数与人工分析</w:t>
            </w:r>
          </w:p>
        </w:tc>
        <w:tc>
          <w:tcPr>
            <w:tcW w:type="dxa" w:w="294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AI调用可信数据并生成洞察</w:t>
            </w:r>
          </w:p>
        </w:tc>
        <w:tc>
          <w:tcPr>
            <w:tcW w:type="dxa" w:w="294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AI数据入口</w:t>
            </w:r>
          </w:p>
        </w:tc>
      </w:tr>
      <w:tr>
        <w:trPr>
          <w:trHeight w:hRule="auto"/>
        </w:trPr>
        <w:tc>
          <w:tcPr>
            <w:tcW w:type="dxa" w:w="294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人工推进接入、联调和执行</w:t>
            </w:r>
          </w:p>
        </w:tc>
        <w:tc>
          <w:tcPr>
            <w:tcW w:type="dxa" w:w="294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AI编排任务并推动交付</w:t>
            </w:r>
          </w:p>
        </w:tc>
        <w:tc>
          <w:tcPr>
            <w:tcW w:type="dxa" w:w="294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AI交付与执行入口</w:t>
            </w:r>
          </w:p>
        </w:tc>
      </w:tr>
    </w:tbl>
    <w:p>
      <w:pPr>
        <w:pStyle w:val="Heading1"/>
        <w:spacing w:before="280" w:after="120"/>
        <w:pBdr>
          <w:bottom w:val="single" w:sz="8" w:space="4" w:color="D9EAF7"/>
        </w:pBdr>
      </w:pPr>
      <w:r>
        <w:rPr>
          <w:rFonts w:ascii="Noto Sans CJK SC" w:hAnsi="Noto Sans CJK SC" w:eastAsia="Noto Sans CJK SC"/>
          <w:b/>
          <w:color w:val="17365D"/>
          <w:sz w:val="36"/>
        </w:rPr>
        <w:t>5. 核心价值与核心指标</w:t>
      </w:r>
    </w:p>
    <w:p>
      <w:pPr>
        <w:pStyle w:val="Heading2"/>
        <w:spacing w:before="200" w:after="80"/>
      </w:pPr>
      <w:r>
        <w:rPr>
          <w:rFonts w:ascii="Noto Sans CJK SC" w:hAnsi="Noto Sans CJK SC" w:eastAsia="Noto Sans CJK SC"/>
          <w:b/>
          <w:color w:val="1F4E79"/>
          <w:sz w:val="28"/>
        </w:rPr>
        <w:t>5.1 三个核心价值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rHeight w:hRule="auto"/>
        </w:trPr>
        <w:tc>
          <w:tcPr>
            <w:tcW w:type="dxa" w:w="192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核心价值</w:t>
            </w:r>
          </w:p>
        </w:tc>
        <w:tc>
          <w:tcPr>
            <w:tcW w:type="dxa" w:w="351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62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业务体现</w:t>
            </w:r>
          </w:p>
        </w:tc>
      </w:tr>
      <w:tr>
        <w:trPr>
          <w:trHeight w:hRule="auto"/>
        </w:trPr>
        <w:tc>
          <w:tcPr>
            <w:tcW w:type="dxa" w:w="192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提升组织效率</w:t>
            </w:r>
          </w:p>
        </w:tc>
        <w:tc>
          <w:tcPr>
            <w:tcW w:type="dxa" w:w="351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减少发行、投放、数据、技术之间的反复沟通、重复协作和人工执行。</w:t>
            </w:r>
          </w:p>
        </w:tc>
        <w:tc>
          <w:tcPr>
            <w:tcW w:type="dxa" w:w="362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服务自助化、分析自助化、交付自动化、运营自动化。</w:t>
            </w:r>
          </w:p>
        </w:tc>
      </w:tr>
      <w:tr>
        <w:trPr>
          <w:trHeight w:hRule="auto"/>
        </w:trPr>
        <w:tc>
          <w:tcPr>
            <w:tcW w:type="dxa" w:w="192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提升决策质量</w:t>
            </w:r>
          </w:p>
        </w:tc>
        <w:tc>
          <w:tcPr>
            <w:tcW w:type="dxa" w:w="351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通过数据分析、行业情报、预测模型和策略建议，帮助组织从事后复盘升级为事前判断。</w:t>
            </w:r>
          </w:p>
        </w:tc>
        <w:tc>
          <w:tcPr>
            <w:tcW w:type="dxa" w:w="362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更快发现问题、更早识别风险、更准确制定策略、更稳定提升ROI。</w:t>
            </w:r>
          </w:p>
        </w:tc>
      </w:tr>
      <w:tr>
        <w:trPr>
          <w:trHeight w:hRule="auto"/>
        </w:trPr>
        <w:tc>
          <w:tcPr>
            <w:tcW w:type="dxa" w:w="192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沉淀组织能力</w:t>
            </w:r>
          </w:p>
        </w:tc>
        <w:tc>
          <w:tcPr>
            <w:tcW w:type="dxa" w:w="351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将专家经验、数据口径、媒体文档、接入规范、排查路径、联调流程和投放SOP沉淀为平台能力。</w:t>
            </w:r>
          </w:p>
        </w:tc>
        <w:tc>
          <w:tcPr>
            <w:tcW w:type="dxa" w:w="362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能力资产化、流程标准化、服务规模化、经验可复用。</w:t>
            </w:r>
          </w:p>
        </w:tc>
      </w:tr>
    </w:tbl>
    <w:p>
      <w:pPr>
        <w:pStyle w:val="Heading2"/>
        <w:spacing w:before="200" w:after="80"/>
      </w:pPr>
      <w:r>
        <w:rPr>
          <w:rFonts w:ascii="Noto Sans CJK SC" w:hAnsi="Noto Sans CJK SC" w:eastAsia="Noto Sans CJK SC"/>
          <w:b/>
          <w:color w:val="1F4E79"/>
          <w:sz w:val="28"/>
        </w:rPr>
        <w:t>5.2 三个核心指标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rHeight w:hRule="auto"/>
        </w:trPr>
        <w:tc>
          <w:tcPr>
            <w:tcW w:type="dxa" w:w="192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核心指标</w:t>
            </w:r>
          </w:p>
        </w:tc>
        <w:tc>
          <w:tcPr>
            <w:tcW w:type="dxa" w:w="351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62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意义</w:t>
            </w:r>
          </w:p>
        </w:tc>
      </w:tr>
      <w:tr>
        <w:trPr>
          <w:trHeight w:hRule="auto"/>
        </w:trPr>
        <w:tc>
          <w:tcPr>
            <w:tcW w:type="dxa" w:w="192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AI服务渗透率</w:t>
            </w:r>
          </w:p>
        </w:tc>
        <w:tc>
          <w:tcPr>
            <w:tcW w:type="dxa" w:w="351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通过小乔智投完成的业务服务任务数 / 全部可由小乔智投承接的业务服务任务数。</w:t>
            </w:r>
          </w:p>
        </w:tc>
        <w:tc>
          <w:tcPr>
            <w:tcW w:type="dxa" w:w="362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衡量小乔智投是否成为发行体系的统一AI服务入口。</w:t>
            </w:r>
          </w:p>
        </w:tc>
      </w:tr>
      <w:tr>
        <w:trPr>
          <w:trHeight w:hRule="auto"/>
        </w:trPr>
        <w:tc>
          <w:tcPr>
            <w:tcW w:type="dxa" w:w="192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自动化覆盖率</w:t>
            </w:r>
          </w:p>
        </w:tc>
        <w:tc>
          <w:tcPr>
            <w:tcW w:type="dxa" w:w="351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由系统自动完成的标准化步骤数 / 全部可标准化业务步骤数。</w:t>
            </w:r>
          </w:p>
        </w:tc>
        <w:tc>
          <w:tcPr>
            <w:tcW w:type="dxa" w:w="362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衡量小乔智投是否从辅助工具升级为执行系统。</w:t>
            </w:r>
          </w:p>
        </w:tc>
      </w:tr>
      <w:tr>
        <w:trPr>
          <w:trHeight w:hRule="auto"/>
        </w:trPr>
        <w:tc>
          <w:tcPr>
            <w:tcW w:type="dxa" w:w="192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人效提升率</w:t>
            </w:r>
          </w:p>
        </w:tc>
        <w:tc>
          <w:tcPr>
            <w:tcW w:type="dxa" w:w="351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AI服务平台上线后节省的工时、缩短的周期、减少的人工介入 / 原始人工服务成本。</w:t>
            </w:r>
          </w:p>
        </w:tc>
        <w:tc>
          <w:tcPr>
            <w:tcW w:type="dxa" w:w="362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衡量小乔智投是否产生组织级ROI。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EAF4FB"/>
            <w:tcBorders>
              <w:top w:sz="8" w:val="single" w:color="9CC6DF"/>
              <w:left w:sz="8" w:val="single" w:color="9CC6DF"/>
              <w:bottom w:sz="8" w:val="single" w:color="9CC6DF"/>
              <w:right w:sz="8" w:val="single" w:color="9CC6DF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65D"/>
                <w:sz w:val="23"/>
              </w:rPr>
              <w:t>指标原则</w:t>
            </w:r>
          </w:p>
          <w:p>
            <w:pPr>
              <w:spacing w:line="264" w:lineRule="auto" w:after="40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白皮书层面只保留三个核心指标，避免把产品规划拆成过多功能指标。各模块可以在执行层另设二级指标，但不应稀释经营主线。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  <w:pBdr>
          <w:bottom w:val="single" w:sz="8" w:space="4" w:color="D9EAF7"/>
        </w:pBdr>
      </w:pPr>
      <w:r>
        <w:rPr>
          <w:rFonts w:ascii="Noto Sans CJK SC" w:hAnsi="Noto Sans CJK SC" w:eastAsia="Noto Sans CJK SC"/>
          <w:b/>
          <w:color w:val="17365D"/>
          <w:sz w:val="36"/>
        </w:rPr>
        <w:t>6. 总体架构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小乔智投由五大能力中心构成。五大中心不是并列功能清单，而是一条完整业务闭环。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rHeight w:hRule="auto"/>
        </w:trPr>
        <w:tc>
          <w:tcPr>
            <w:tcW w:type="dxa" w:w="243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能力中心</w:t>
            </w:r>
          </w:p>
        </w:tc>
        <w:tc>
          <w:tcPr>
            <w:tcW w:type="dxa" w:w="226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436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核心职责</w:t>
            </w:r>
          </w:p>
        </w:tc>
      </w:tr>
      <w:tr>
        <w:trPr>
          <w:trHeight w:hRule="auto"/>
        </w:trPr>
        <w:tc>
          <w:tcPr>
            <w:tcW w:type="dxa" w:w="243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Conversation OS</w:t>
            </w:r>
          </w:p>
        </w:tc>
        <w:tc>
          <w:tcPr>
            <w:tcW w:type="dxa" w:w="226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统一服务入口</w:t>
            </w:r>
          </w:p>
        </w:tc>
        <w:tc>
          <w:tcPr>
            <w:tcW w:type="dxa" w:w="436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理解需求、多轮澄清、上下文补齐、服务分诊、任务管理。</w:t>
            </w:r>
          </w:p>
        </w:tc>
      </w:tr>
      <w:tr>
        <w:trPr>
          <w:trHeight w:hRule="auto"/>
        </w:trPr>
        <w:tc>
          <w:tcPr>
            <w:tcW w:type="dxa" w:w="243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Data Intelligence</w:t>
            </w:r>
          </w:p>
        </w:tc>
        <w:tc>
          <w:tcPr>
            <w:tcW w:type="dxa" w:w="226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统一数据智能</w:t>
            </w:r>
          </w:p>
        </w:tc>
        <w:tc>
          <w:tcPr>
            <w:tcW w:type="dxa" w:w="436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查数、拼表、报表、分析、创意追踪、数据洞察。</w:t>
            </w:r>
          </w:p>
        </w:tc>
      </w:tr>
      <w:tr>
        <w:trPr>
          <w:trHeight w:hRule="auto"/>
        </w:trPr>
        <w:tc>
          <w:tcPr>
            <w:tcW w:type="dxa" w:w="243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Intelligence Center</w:t>
            </w:r>
          </w:p>
        </w:tc>
        <w:tc>
          <w:tcPr>
            <w:tcW w:type="dxa" w:w="226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决策智能中心</w:t>
            </w:r>
          </w:p>
        </w:tc>
        <w:tc>
          <w:tcPr>
            <w:tcW w:type="dxa" w:w="436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行业情报、竞品情报、创意情报、预测分析、策略建议。</w:t>
            </w:r>
          </w:p>
        </w:tc>
      </w:tr>
      <w:tr>
        <w:trPr>
          <w:trHeight w:hRule="auto"/>
        </w:trPr>
        <w:tc>
          <w:tcPr>
            <w:tcW w:type="dxa" w:w="243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Delivery &amp; Integration OS</w:t>
            </w:r>
          </w:p>
        </w:tc>
        <w:tc>
          <w:tcPr>
            <w:tcW w:type="dxa" w:w="226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交付与集成中心</w:t>
            </w:r>
          </w:p>
        </w:tc>
        <w:tc>
          <w:tcPr>
            <w:tcW w:type="dxa" w:w="436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媒体接入、监测回传接入、投放数据采集、报表接入、联调交付。</w:t>
            </w:r>
          </w:p>
        </w:tc>
      </w:tr>
      <w:tr>
        <w:trPr>
          <w:trHeight w:hRule="auto"/>
        </w:trPr>
        <w:tc>
          <w:tcPr>
            <w:tcW w:type="dxa" w:w="243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AI Service OS</w:t>
            </w:r>
          </w:p>
        </w:tc>
        <w:tc>
          <w:tcPr>
            <w:tcW w:type="dxa" w:w="226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AI Runtime Platform</w:t>
            </w:r>
          </w:p>
        </w:tc>
        <w:tc>
          <w:tcPr>
            <w:tcW w:type="dxa" w:w="436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任务调度、巡检、排查、诊断、告警、Workflow自动执行。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EAF4FB"/>
            <w:tcBorders>
              <w:top w:sz="8" w:val="single" w:color="9CC6DF"/>
              <w:left w:sz="8" w:val="single" w:color="9CC6DF"/>
              <w:bottom w:sz="8" w:val="single" w:color="9CC6DF"/>
              <w:right w:sz="8" w:val="single" w:color="9CC6DF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65D"/>
                <w:sz w:val="23"/>
              </w:rPr>
              <w:t>业务闭环</w:t>
            </w:r>
          </w:p>
          <w:p>
            <w:pPr>
              <w:spacing w:line="264" w:lineRule="auto" w:after="40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理解需求 → 获取数据 → 分析判断 → 生成方案 → 推动交付 → 自动执行 → 复盘沉淀。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  <w:pBdr>
          <w:bottom w:val="single" w:sz="8" w:space="4" w:color="D9EAF7"/>
        </w:pBdr>
      </w:pPr>
      <w:r>
        <w:rPr>
          <w:rFonts w:ascii="Noto Sans CJK SC" w:hAnsi="Noto Sans CJK SC" w:eastAsia="Noto Sans CJK SC"/>
          <w:b/>
          <w:color w:val="17365D"/>
          <w:sz w:val="36"/>
        </w:rPr>
        <w:t>7. 五大能力中心</w:t>
      </w:r>
    </w:p>
    <w:p>
      <w:pPr>
        <w:pStyle w:val="Heading2"/>
        <w:spacing w:before="200" w:after="80"/>
      </w:pPr>
      <w:r>
        <w:rPr>
          <w:rFonts w:ascii="Noto Sans CJK SC" w:hAnsi="Noto Sans CJK SC" w:eastAsia="Noto Sans CJK SC"/>
          <w:b/>
          <w:color w:val="1F4E79"/>
          <w:sz w:val="28"/>
        </w:rPr>
        <w:t>7.1 Conversation OS：统一服务入口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Conversation OS 是小乔智投的前台入口，负责把用户自然表达转化为可执行任务。它解决的是用户不知道找谁、不会提需求、不知道流程、不知道需要提供哪些信息的问题。</w:t>
      </w:r>
    </w:p>
    <w:p>
      <w:pPr>
        <w:pStyle w:val="ListBullet"/>
        <w:spacing w:after="30" w:line="259" w:lineRule="auto"/>
        <w:ind w:left="283"/>
      </w:pPr>
      <w:r>
        <w:rPr>
          <w:rFonts w:ascii="Noto Sans CJK SC" w:hAnsi="Noto Sans CJK SC" w:eastAsia="Noto Sans CJK SC"/>
          <w:color w:val="1F2933"/>
          <w:sz w:val="20"/>
        </w:rPr>
        <w:t>核心职责：理解真实诉求、多轮需求澄清、上下文管理、服务识别与分诊、长链路任务管理、结果解释。</w:t>
      </w:r>
    </w:p>
    <w:p>
      <w:pPr>
        <w:pStyle w:val="ListBullet"/>
        <w:spacing w:after="30" w:line="259" w:lineRule="auto"/>
        <w:ind w:left="283"/>
      </w:pPr>
      <w:r>
        <w:rPr>
          <w:rFonts w:ascii="Noto Sans CJK SC" w:hAnsi="Noto Sans CJK SC" w:eastAsia="Noto Sans CJK SC"/>
          <w:color w:val="1F2933"/>
          <w:sz w:val="20"/>
        </w:rPr>
        <w:t>典型表达：“昨天巨量怎么回事？”、“安卓激活少了200，帮我看看。”、“我要接一个新媒体。”、“帮我生成上周投放日报。”</w:t>
      </w:r>
    </w:p>
    <w:p>
      <w:pPr>
        <w:pStyle w:val="ListBullet"/>
        <w:spacing w:after="30" w:line="259" w:lineRule="auto"/>
        <w:ind w:left="283"/>
      </w:pPr>
      <w:r>
        <w:rPr>
          <w:rFonts w:ascii="Noto Sans CJK SC" w:hAnsi="Noto Sans CJK SC" w:eastAsia="Noto Sans CJK SC"/>
          <w:color w:val="1F2933"/>
          <w:sz w:val="20"/>
        </w:rPr>
        <w:t>核心价值：降低服务门槛，让业务通过自然语言获得专业服务。</w:t>
      </w:r>
    </w:p>
    <w:p>
      <w:pPr>
        <w:pStyle w:val="Heading2"/>
        <w:spacing w:before="200" w:after="80"/>
      </w:pPr>
      <w:r>
        <w:rPr>
          <w:rFonts w:ascii="Noto Sans CJK SC" w:hAnsi="Noto Sans CJK SC" w:eastAsia="Noto Sans CJK SC"/>
          <w:b/>
          <w:color w:val="1F4E79"/>
          <w:sz w:val="28"/>
        </w:rPr>
        <w:t>7.2 Data Intelligence：统一数据智能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Data Intelligence 负责帮助用户理解已经发生的事情。它把查数、拼表、分析、创意追踪、数据洞察统一收敛为数据智能能力。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rHeight w:hRule="auto"/>
        </w:trPr>
        <w:tc>
          <w:tcPr>
            <w:tcW w:type="dxa" w:w="181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51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374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典型场景</w:t>
            </w:r>
          </w:p>
        </w:tc>
      </w:tr>
      <w:tr>
        <w:trPr>
          <w:trHeight w:hRule="auto"/>
        </w:trPr>
        <w:tc>
          <w:tcPr>
            <w:tcW w:type="dxa" w:w="181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Query</w:t>
            </w:r>
          </w:p>
        </w:tc>
        <w:tc>
          <w:tcPr>
            <w:tcW w:type="dxa" w:w="351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查数、指标查询、多维分析、自然语言问数</w:t>
            </w:r>
          </w:p>
        </w:tc>
        <w:tc>
          <w:tcPr>
            <w:tcW w:type="dxa" w:w="374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查昨天巨量ROI、查看各媒体消耗和激活。</w:t>
            </w:r>
          </w:p>
        </w:tc>
      </w:tr>
      <w:tr>
        <w:trPr>
          <w:trHeight w:hRule="auto"/>
        </w:trPr>
        <w:tc>
          <w:tcPr>
            <w:tcW w:type="dxa" w:w="181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Report</w:t>
            </w:r>
          </w:p>
        </w:tc>
        <w:tc>
          <w:tcPr>
            <w:tcW w:type="dxa" w:w="351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模板报表、拼表、Excel导出、定时报表</w:t>
            </w:r>
          </w:p>
        </w:tc>
        <w:tc>
          <w:tcPr>
            <w:tcW w:type="dxa" w:w="374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按项目日报模板生成报表，合并CSV/Excel多源数据。</w:t>
            </w:r>
          </w:p>
        </w:tc>
      </w:tr>
      <w:tr>
        <w:trPr>
          <w:trHeight w:hRule="auto"/>
        </w:trPr>
        <w:tc>
          <w:tcPr>
            <w:tcW w:type="dxa" w:w="181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Analytics</w:t>
            </w:r>
          </w:p>
        </w:tc>
        <w:tc>
          <w:tcPr>
            <w:tcW w:type="dxa" w:w="351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趋势、对比、排名、创意表现分析</w:t>
            </w:r>
          </w:p>
        </w:tc>
        <w:tc>
          <w:tcPr>
            <w:tcW w:type="dxa" w:w="374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分析素材CTR下降原因、渠道注册成本排名。</w:t>
            </w:r>
          </w:p>
        </w:tc>
      </w:tr>
      <w:tr>
        <w:trPr>
          <w:trHeight w:hRule="auto"/>
        </w:trPr>
        <w:tc>
          <w:tcPr>
            <w:tcW w:type="dxa" w:w="181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Insight</w:t>
            </w:r>
          </w:p>
        </w:tc>
        <w:tc>
          <w:tcPr>
            <w:tcW w:type="dxa" w:w="351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数据解读、异常发现、业务洞察</w:t>
            </w:r>
          </w:p>
        </w:tc>
        <w:tc>
          <w:tcPr>
            <w:tcW w:type="dxa" w:w="374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发现ROI下降主要来自某媒体/某创意/某包。</w:t>
            </w:r>
          </w:p>
        </w:tc>
      </w:tr>
    </w:tbl>
    <w:p>
      <w:pPr>
        <w:pStyle w:val="Heading2"/>
        <w:spacing w:before="200" w:after="80"/>
      </w:pPr>
      <w:r>
        <w:rPr>
          <w:rFonts w:ascii="Noto Sans CJK SC" w:hAnsi="Noto Sans CJK SC" w:eastAsia="Noto Sans CJK SC"/>
          <w:b/>
          <w:color w:val="1F4E79"/>
          <w:sz w:val="28"/>
        </w:rPr>
        <w:t>7.3 Intelligence Center：决策智能中心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Intelligence Center 负责帮助用户理解行业正在发生什么、未来可能发生什么，以及下一步应该怎么做。行业情报、竞品情报和广告素材情报既可以作为独立决策输入，也可以作为预测模型的外部特征，提高预测准确率。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rHeight w:hRule="auto"/>
        </w:trPr>
        <w:tc>
          <w:tcPr>
            <w:tcW w:type="dxa" w:w="232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57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317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典型问题</w:t>
            </w:r>
          </w:p>
        </w:tc>
      </w:tr>
      <w:tr>
        <w:trPr>
          <w:trHeight w:hRule="auto"/>
        </w:trPr>
        <w:tc>
          <w:tcPr>
            <w:tcW w:type="dxa" w:w="232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Industry Intelligence</w:t>
            </w:r>
          </w:p>
        </w:tc>
        <w:tc>
          <w:tcPr>
            <w:tcW w:type="dxa" w:w="357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行业、竞品、广告库、创意库、社交/社区/媒体信息采集与知识化</w:t>
            </w:r>
          </w:p>
        </w:tc>
        <w:tc>
          <w:tcPr>
            <w:tcW w:type="dxa" w:w="317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最近SLG买量素材有什么变化？竞品在哪些媒体加大投放？</w:t>
            </w:r>
          </w:p>
        </w:tc>
      </w:tr>
      <w:tr>
        <w:trPr>
          <w:trHeight w:hRule="auto"/>
        </w:trPr>
        <w:tc>
          <w:tcPr>
            <w:tcW w:type="dxa" w:w="232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Forecast</w:t>
            </w:r>
          </w:p>
        </w:tc>
        <w:tc>
          <w:tcPr>
            <w:tcW w:type="dxa" w:w="357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ROI、消耗、激活、付费、LTV、预算预测</w:t>
            </w:r>
          </w:p>
        </w:tc>
        <w:tc>
          <w:tcPr>
            <w:tcW w:type="dxa" w:w="317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未来三天ROI是否有下降风险？下周预算如何分配？</w:t>
            </w:r>
          </w:p>
        </w:tc>
      </w:tr>
      <w:tr>
        <w:trPr>
          <w:trHeight w:hRule="auto"/>
        </w:trPr>
        <w:tc>
          <w:tcPr>
            <w:tcW w:type="dxa" w:w="232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Strategy Advisor</w:t>
            </w:r>
          </w:p>
        </w:tc>
        <w:tc>
          <w:tcPr>
            <w:tcW w:type="dxa" w:w="357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投放建议、创意建议、风险预警、策略推荐</w:t>
            </w:r>
          </w:p>
        </w:tc>
        <w:tc>
          <w:tcPr>
            <w:tcW w:type="dxa" w:w="317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哪些素材可以继续放量？哪些渠道需要降预算？</w:t>
            </w:r>
          </w:p>
        </w:tc>
      </w:tr>
    </w:tbl>
    <w:p>
      <w:pPr>
        <w:pStyle w:val="Heading2"/>
        <w:spacing w:before="200" w:after="80"/>
      </w:pPr>
      <w:r>
        <w:rPr>
          <w:rFonts w:ascii="Noto Sans CJK SC" w:hAnsi="Noto Sans CJK SC" w:eastAsia="Noto Sans CJK SC"/>
          <w:b/>
          <w:color w:val="1F4E79"/>
          <w:sz w:val="28"/>
        </w:rPr>
        <w:t>7.4 Delivery &amp; Integration OS：交付与集成中心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Delivery &amp; Integration OS 是小乔智投区别于普通AI数据产品的关键能力。它承接媒体接入、监测接入、回传接入、投放数据采集接入、报表接入、联调交付和工单生成。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这类工作不是单纯数据分析，而是发行服务交付。其核心价值是把专家驱动的交付流程升级为系统驱动的交付流程。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rHeight w:hRule="auto"/>
        </w:trPr>
        <w:tc>
          <w:tcPr>
            <w:tcW w:type="dxa" w:w="232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Runtime</w:t>
            </w:r>
          </w:p>
        </w:tc>
        <w:tc>
          <w:tcPr>
            <w:tcW w:type="dxa" w:w="408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核心能力</w:t>
            </w:r>
          </w:p>
        </w:tc>
        <w:tc>
          <w:tcPr>
            <w:tcW w:type="dxa" w:w="266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输出结果</w:t>
            </w:r>
          </w:p>
        </w:tc>
      </w:tr>
      <w:tr>
        <w:trPr>
          <w:trHeight w:hRule="auto"/>
        </w:trPr>
        <w:tc>
          <w:tcPr>
            <w:tcW w:type="dxa" w:w="232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Requirement Runtime</w:t>
            </w:r>
          </w:p>
        </w:tc>
        <w:tc>
          <w:tcPr>
            <w:tcW w:type="dxa" w:w="408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多轮需求澄清、接入需求确认、缺失项检查、风险检查、可行性检查</w:t>
            </w:r>
          </w:p>
        </w:tc>
        <w:tc>
          <w:tcPr>
            <w:tcW w:type="dxa" w:w="266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结构化需求、缺失清单、风险清单。</w:t>
            </w:r>
          </w:p>
        </w:tc>
      </w:tr>
      <w:tr>
        <w:trPr>
          <w:trHeight w:hRule="auto"/>
        </w:trPr>
        <w:tc>
          <w:tcPr>
            <w:tcW w:type="dxa" w:w="232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Integration Runtime</w:t>
            </w:r>
          </w:p>
        </w:tc>
        <w:tc>
          <w:tcPr>
            <w:tcW w:type="dxa" w:w="408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媒体文档解析、点击参数解析、回传参数解析、字段标准化映射</w:t>
            </w:r>
          </w:p>
        </w:tc>
        <w:tc>
          <w:tcPr>
            <w:tcW w:type="dxa" w:w="266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参数表、字段映射、接入规则。</w:t>
            </w:r>
          </w:p>
        </w:tc>
      </w:tr>
      <w:tr>
        <w:trPr>
          <w:trHeight w:hRule="auto"/>
        </w:trPr>
        <w:tc>
          <w:tcPr>
            <w:tcW w:type="dxa" w:w="232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Delivery Runtime</w:t>
            </w:r>
          </w:p>
        </w:tc>
        <w:tc>
          <w:tcPr>
            <w:tcW w:type="dxa" w:w="408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接入方案生成、配置生成、工单生成、联调计划生成</w:t>
            </w:r>
          </w:p>
        </w:tc>
        <w:tc>
          <w:tcPr>
            <w:tcW w:type="dxa" w:w="266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接入方案、配置草案、开发/实施工单。</w:t>
            </w:r>
          </w:p>
        </w:tc>
      </w:tr>
      <w:tr>
        <w:trPr>
          <w:trHeight w:hRule="auto"/>
        </w:trPr>
        <w:tc>
          <w:tcPr>
            <w:tcW w:type="dxa" w:w="232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Integration Workflow</w:t>
            </w:r>
          </w:p>
        </w:tc>
        <w:tc>
          <w:tcPr>
            <w:tcW w:type="dxa" w:w="408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白名单检查、权限检查、账号检查、自动测试、联调跟踪</w:t>
            </w:r>
          </w:p>
        </w:tc>
        <w:tc>
          <w:tcPr>
            <w:tcW w:type="dxa" w:w="266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联调记录、测试报告、验收状态。</w:t>
            </w:r>
          </w:p>
        </w:tc>
      </w:tr>
    </w:tbl>
    <w:p>
      <w:pPr>
        <w:pStyle w:val="Heading2"/>
        <w:spacing w:before="200" w:after="80"/>
      </w:pPr>
      <w:r>
        <w:rPr>
          <w:rFonts w:ascii="Noto Sans CJK SC" w:hAnsi="Noto Sans CJK SC" w:eastAsia="Noto Sans CJK SC"/>
          <w:b/>
          <w:color w:val="1F4E79"/>
          <w:sz w:val="28"/>
        </w:rPr>
        <w:t>7.5 AI Service OS：自动化服务运行层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AI Service OS 是小乔智投的运行层，负责把标准化服务做成可配置、可调度、可追踪、可复用的 Runtime 能力。排查、诊断、巡检、告警、自动联调、自动广告操作等，都应该收敛到这一层。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rHeight w:hRule="auto"/>
        </w:trPr>
        <w:tc>
          <w:tcPr>
            <w:tcW w:type="dxa" w:w="232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57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17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典型任务</w:t>
            </w:r>
          </w:p>
        </w:tc>
      </w:tr>
      <w:tr>
        <w:trPr>
          <w:trHeight w:hRule="auto"/>
        </w:trPr>
        <w:tc>
          <w:tcPr>
            <w:tcW w:type="dxa" w:w="232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Task Center</w:t>
            </w:r>
          </w:p>
        </w:tc>
        <w:tc>
          <w:tcPr>
            <w:tcW w:type="dxa" w:w="357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任务定义、任务调度、状态管理、历史记录</w:t>
            </w:r>
          </w:p>
        </w:tc>
        <w:tc>
          <w:tcPr>
            <w:tcW w:type="dxa" w:w="317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定时日报、巡检任务、联调任务、报表调度。</w:t>
            </w:r>
          </w:p>
        </w:tc>
      </w:tr>
      <w:tr>
        <w:trPr>
          <w:trHeight w:hRule="auto"/>
        </w:trPr>
        <w:tc>
          <w:tcPr>
            <w:tcW w:type="dxa" w:w="232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Inspection Runtime</w:t>
            </w:r>
          </w:p>
        </w:tc>
        <w:tc>
          <w:tcPr>
            <w:tcW w:type="dxa" w:w="357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数据巡检、投放巡检、创意巡检、链路巡检、风险巡检</w:t>
            </w:r>
          </w:p>
        </w:tc>
        <w:tc>
          <w:tcPr>
            <w:tcW w:type="dxa" w:w="317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ROI异常、消耗断流、回传延迟、素材衰退。</w:t>
            </w:r>
          </w:p>
        </w:tc>
      </w:tr>
      <w:tr>
        <w:trPr>
          <w:trHeight w:hRule="auto"/>
        </w:trPr>
        <w:tc>
          <w:tcPr>
            <w:tcW w:type="dxa" w:w="232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Diagnosis Runtime</w:t>
            </w:r>
          </w:p>
        </w:tc>
        <w:tc>
          <w:tcPr>
            <w:tcW w:type="dxa" w:w="357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自动排查、自动归因、自动诊断、诊断报告生成</w:t>
            </w:r>
          </w:p>
        </w:tc>
        <w:tc>
          <w:tcPr>
            <w:tcW w:type="dxa" w:w="317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ROI下降原因、激活缺失原因、创意转化差原因。</w:t>
            </w:r>
          </w:p>
        </w:tc>
      </w:tr>
      <w:tr>
        <w:trPr>
          <w:trHeight w:hRule="auto"/>
        </w:trPr>
        <w:tc>
          <w:tcPr>
            <w:tcW w:type="dxa" w:w="232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Workflow Runtime</w:t>
            </w:r>
          </w:p>
        </w:tc>
        <w:tc>
          <w:tcPr>
            <w:tcW w:type="dxa" w:w="357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联调自动化、SOP自动化、广告自动化、业务流程自动化</w:t>
            </w:r>
          </w:p>
        </w:tc>
        <w:tc>
          <w:tcPr>
            <w:tcW w:type="dxa" w:w="317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自动生成链接、自动测试、自动暂停低风险广告、自动生成工单。</w:t>
            </w:r>
          </w:p>
        </w:tc>
      </w:tr>
    </w:tbl>
    <w:p>
      <w:pPr>
        <w:pStyle w:val="Heading1"/>
        <w:spacing w:before="280" w:after="120"/>
        <w:pBdr>
          <w:bottom w:val="single" w:sz="8" w:space="4" w:color="D9EAF7"/>
        </w:pBdr>
      </w:pPr>
      <w:r>
        <w:rPr>
          <w:rFonts w:ascii="Noto Sans CJK SC" w:hAnsi="Noto Sans CJK SC" w:eastAsia="Noto Sans CJK SC"/>
          <w:b/>
          <w:color w:val="17365D"/>
          <w:sz w:val="36"/>
        </w:rPr>
        <w:t>8. 已规划服务的收敛关系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当前已规划服务不应继续作为一级产品定位展开，而应收敛到五大能力中心中，形成稳定架构。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rHeight w:hRule="auto"/>
        </w:trPr>
        <w:tc>
          <w:tcPr>
            <w:tcW w:type="dxa" w:w="198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已规划服务</w:t>
            </w:r>
          </w:p>
        </w:tc>
        <w:tc>
          <w:tcPr>
            <w:tcW w:type="dxa" w:w="283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收敛到的能力中心</w:t>
            </w:r>
          </w:p>
        </w:tc>
        <w:tc>
          <w:tcPr>
            <w:tcW w:type="dxa" w:w="425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产品定义</w:t>
            </w:r>
          </w:p>
        </w:tc>
      </w:tr>
      <w:tr>
        <w:trPr>
          <w:trHeight w:hRule="auto"/>
        </w:trPr>
        <w:tc>
          <w:tcPr>
            <w:tcW w:type="dxa" w:w="198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对话</w:t>
            </w:r>
          </w:p>
        </w:tc>
        <w:tc>
          <w:tcPr>
            <w:tcW w:type="dxa" w:w="283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Conversation OS</w:t>
            </w:r>
          </w:p>
        </w:tc>
        <w:tc>
          <w:tcPr>
            <w:tcW w:type="dxa" w:w="425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统一服务入口与任务管理。</w:t>
            </w:r>
          </w:p>
        </w:tc>
      </w:tr>
      <w:tr>
        <w:trPr>
          <w:trHeight w:hRule="auto"/>
        </w:trPr>
        <w:tc>
          <w:tcPr>
            <w:tcW w:type="dxa" w:w="198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查数</w:t>
            </w:r>
          </w:p>
        </w:tc>
        <w:tc>
          <w:tcPr>
            <w:tcW w:type="dxa" w:w="283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Data Intelligence</w:t>
            </w:r>
          </w:p>
        </w:tc>
        <w:tc>
          <w:tcPr>
            <w:tcW w:type="dxa" w:w="425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数据查询服务。</w:t>
            </w:r>
          </w:p>
        </w:tc>
      </w:tr>
      <w:tr>
        <w:trPr>
          <w:trHeight w:hRule="auto"/>
        </w:trPr>
        <w:tc>
          <w:tcPr>
            <w:tcW w:type="dxa" w:w="198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拼表</w:t>
            </w:r>
          </w:p>
        </w:tc>
        <w:tc>
          <w:tcPr>
            <w:tcW w:type="dxa" w:w="283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Data Intelligence + AI Service OS</w:t>
            </w:r>
          </w:p>
        </w:tc>
        <w:tc>
          <w:tcPr>
            <w:tcW w:type="dxa" w:w="425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模板报表与定时调度任务。</w:t>
            </w:r>
          </w:p>
        </w:tc>
      </w:tr>
      <w:tr>
        <w:trPr>
          <w:trHeight w:hRule="auto"/>
        </w:trPr>
        <w:tc>
          <w:tcPr>
            <w:tcW w:type="dxa" w:w="198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分析</w:t>
            </w:r>
          </w:p>
        </w:tc>
        <w:tc>
          <w:tcPr>
            <w:tcW w:type="dxa" w:w="283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Data Intelligence</w:t>
            </w:r>
          </w:p>
        </w:tc>
        <w:tc>
          <w:tcPr>
            <w:tcW w:type="dxa" w:w="425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数据分析与业务洞察。</w:t>
            </w:r>
          </w:p>
        </w:tc>
      </w:tr>
      <w:tr>
        <w:trPr>
          <w:trHeight w:hRule="auto"/>
        </w:trPr>
        <w:tc>
          <w:tcPr>
            <w:tcW w:type="dxa" w:w="198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创意追踪</w:t>
            </w:r>
          </w:p>
        </w:tc>
        <w:tc>
          <w:tcPr>
            <w:tcW w:type="dxa" w:w="283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Data Intelligence + Intelligence Center</w:t>
            </w:r>
          </w:p>
        </w:tc>
        <w:tc>
          <w:tcPr>
            <w:tcW w:type="dxa" w:w="425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创意表现分析与创意情报。</w:t>
            </w:r>
          </w:p>
        </w:tc>
      </w:tr>
      <w:tr>
        <w:trPr>
          <w:trHeight w:hRule="auto"/>
        </w:trPr>
        <w:tc>
          <w:tcPr>
            <w:tcW w:type="dxa" w:w="198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行业情报</w:t>
            </w:r>
          </w:p>
        </w:tc>
        <w:tc>
          <w:tcPr>
            <w:tcW w:type="dxa" w:w="283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Intelligence Center</w:t>
            </w:r>
          </w:p>
        </w:tc>
        <w:tc>
          <w:tcPr>
            <w:tcW w:type="dxa" w:w="425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外部信息采集、知识化与决策输入。</w:t>
            </w:r>
          </w:p>
        </w:tc>
      </w:tr>
      <w:tr>
        <w:trPr>
          <w:trHeight w:hRule="auto"/>
        </w:trPr>
        <w:tc>
          <w:tcPr>
            <w:tcW w:type="dxa" w:w="198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预测</w:t>
            </w:r>
          </w:p>
        </w:tc>
        <w:tc>
          <w:tcPr>
            <w:tcW w:type="dxa" w:w="283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Intelligence Center</w:t>
            </w:r>
          </w:p>
        </w:tc>
        <w:tc>
          <w:tcPr>
            <w:tcW w:type="dxa" w:w="425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ROI、LTV、消耗、预算等预测能力。</w:t>
            </w:r>
          </w:p>
        </w:tc>
      </w:tr>
      <w:tr>
        <w:trPr>
          <w:trHeight w:hRule="auto"/>
        </w:trPr>
        <w:tc>
          <w:tcPr>
            <w:tcW w:type="dxa" w:w="198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排查</w:t>
            </w:r>
          </w:p>
        </w:tc>
        <w:tc>
          <w:tcPr>
            <w:tcW w:type="dxa" w:w="283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AI Service OS</w:t>
            </w:r>
          </w:p>
        </w:tc>
        <w:tc>
          <w:tcPr>
            <w:tcW w:type="dxa" w:w="425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自动排查与异常定位。</w:t>
            </w:r>
          </w:p>
        </w:tc>
      </w:tr>
      <w:tr>
        <w:trPr>
          <w:trHeight w:hRule="auto"/>
        </w:trPr>
        <w:tc>
          <w:tcPr>
            <w:tcW w:type="dxa" w:w="198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诊断</w:t>
            </w:r>
          </w:p>
        </w:tc>
        <w:tc>
          <w:tcPr>
            <w:tcW w:type="dxa" w:w="283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AI Service OS</w:t>
            </w:r>
          </w:p>
        </w:tc>
        <w:tc>
          <w:tcPr>
            <w:tcW w:type="dxa" w:w="425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自动归因与诊断报告。</w:t>
            </w:r>
          </w:p>
        </w:tc>
      </w:tr>
      <w:tr>
        <w:trPr>
          <w:trHeight w:hRule="auto"/>
        </w:trPr>
        <w:tc>
          <w:tcPr>
            <w:tcW w:type="dxa" w:w="198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取包</w:t>
            </w:r>
          </w:p>
        </w:tc>
        <w:tc>
          <w:tcPr>
            <w:tcW w:type="dxa" w:w="283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Delivery &amp; Integration OS + AI Service OS</w:t>
            </w:r>
          </w:p>
        </w:tc>
        <w:tc>
          <w:tcPr>
            <w:tcW w:type="dxa" w:w="425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业务交付SOP自动化。</w:t>
            </w:r>
          </w:p>
        </w:tc>
      </w:tr>
      <w:tr>
        <w:trPr>
          <w:trHeight w:hRule="auto"/>
        </w:trPr>
        <w:tc>
          <w:tcPr>
            <w:tcW w:type="dxa" w:w="198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自动联调</w:t>
            </w:r>
          </w:p>
        </w:tc>
        <w:tc>
          <w:tcPr>
            <w:tcW w:type="dxa" w:w="283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Delivery &amp; Integration OS + AI Service OS</w:t>
            </w:r>
          </w:p>
        </w:tc>
        <w:tc>
          <w:tcPr>
            <w:tcW w:type="dxa" w:w="425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集成交付与联调自动化。</w:t>
            </w:r>
          </w:p>
        </w:tc>
      </w:tr>
      <w:tr>
        <w:trPr>
          <w:trHeight w:hRule="auto"/>
        </w:trPr>
        <w:tc>
          <w:tcPr>
            <w:tcW w:type="dxa" w:w="198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新媒体接入</w:t>
            </w:r>
          </w:p>
        </w:tc>
        <w:tc>
          <w:tcPr>
            <w:tcW w:type="dxa" w:w="283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Delivery &amp; Integration OS</w:t>
            </w:r>
          </w:p>
        </w:tc>
        <w:tc>
          <w:tcPr>
            <w:tcW w:type="dxa" w:w="425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媒体监测、回传、配置交付。</w:t>
            </w:r>
          </w:p>
        </w:tc>
      </w:tr>
      <w:tr>
        <w:trPr>
          <w:trHeight w:hRule="auto"/>
        </w:trPr>
        <w:tc>
          <w:tcPr>
            <w:tcW w:type="dxa" w:w="198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投放数据采集</w:t>
            </w:r>
          </w:p>
        </w:tc>
        <w:tc>
          <w:tcPr>
            <w:tcW w:type="dxa" w:w="283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Delivery &amp; Integration OS + Data Intelligence</w:t>
            </w:r>
          </w:p>
        </w:tc>
        <w:tc>
          <w:tcPr>
            <w:tcW w:type="dxa" w:w="425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授权、字段映射、报表接入。</w:t>
            </w:r>
          </w:p>
        </w:tc>
      </w:tr>
      <w:tr>
        <w:trPr>
          <w:trHeight w:hRule="auto"/>
        </w:trPr>
        <w:tc>
          <w:tcPr>
            <w:tcW w:type="dxa" w:w="198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自动搭建广告</w:t>
            </w:r>
          </w:p>
        </w:tc>
        <w:tc>
          <w:tcPr>
            <w:tcW w:type="dxa" w:w="283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AI Service OS</w:t>
            </w:r>
          </w:p>
        </w:tc>
        <w:tc>
          <w:tcPr>
            <w:tcW w:type="dxa" w:w="425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广告工作流自动化。</w:t>
            </w:r>
          </w:p>
        </w:tc>
      </w:tr>
      <w:tr>
        <w:trPr>
          <w:trHeight w:hRule="auto"/>
        </w:trPr>
        <w:tc>
          <w:tcPr>
            <w:tcW w:type="dxa" w:w="198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自动暂停/恢复广告</w:t>
            </w:r>
          </w:p>
        </w:tc>
        <w:tc>
          <w:tcPr>
            <w:tcW w:type="dxa" w:w="283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AI Service OS</w:t>
            </w:r>
          </w:p>
        </w:tc>
        <w:tc>
          <w:tcPr>
            <w:tcW w:type="dxa" w:w="425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投放执行自动化，需按风险分级。</w:t>
            </w:r>
          </w:p>
        </w:tc>
      </w:tr>
      <w:tr>
        <w:trPr>
          <w:trHeight w:hRule="auto"/>
        </w:trPr>
        <w:tc>
          <w:tcPr>
            <w:tcW w:type="dxa" w:w="198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自动调预算/出价</w:t>
            </w:r>
          </w:p>
        </w:tc>
        <w:tc>
          <w:tcPr>
            <w:tcW w:type="dxa" w:w="2835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AI Service OS + Intelligence Center</w:t>
            </w:r>
          </w:p>
        </w:tc>
        <w:tc>
          <w:tcPr>
            <w:tcW w:type="dxa" w:w="425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策略建议与执行闭环。</w:t>
            </w:r>
          </w:p>
        </w:tc>
      </w:tr>
    </w:tbl>
    <w:p>
      <w:pPr>
        <w:pStyle w:val="Heading1"/>
        <w:spacing w:before="280" w:after="120"/>
        <w:pBdr>
          <w:bottom w:val="single" w:sz="8" w:space="4" w:color="D9EAF7"/>
        </w:pBdr>
      </w:pPr>
      <w:r>
        <w:rPr>
          <w:rFonts w:ascii="Noto Sans CJK SC" w:hAnsi="Noto Sans CJK SC" w:eastAsia="Noto Sans CJK SC"/>
          <w:b/>
          <w:color w:val="17365D"/>
          <w:sz w:val="36"/>
        </w:rPr>
        <w:t>9. 典型业务流程</w:t>
      </w:r>
    </w:p>
    <w:p>
      <w:pPr>
        <w:pStyle w:val="Heading2"/>
        <w:spacing w:before="200" w:after="80"/>
      </w:pPr>
      <w:r>
        <w:rPr>
          <w:rFonts w:ascii="Noto Sans CJK SC" w:hAnsi="Noto Sans CJK SC" w:eastAsia="Noto Sans CJK SC"/>
          <w:b/>
          <w:color w:val="1F4E79"/>
          <w:sz w:val="28"/>
        </w:rPr>
        <w:t>9.1 用户驱动模式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用户提问 → Conversation OS理解需求 → 路由到查数、分析、接入、排查、诊断等服务 → 服务执行 → 返回结果或生成工单。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适合查数、拼表、分析、接入需求、临时排查、临时诊断等场景。</w:t>
      </w:r>
    </w:p>
    <w:p>
      <w:pPr>
        <w:pStyle w:val="Heading2"/>
        <w:spacing w:before="200" w:after="80"/>
      </w:pPr>
      <w:r>
        <w:rPr>
          <w:rFonts w:ascii="Noto Sans CJK SC" w:hAnsi="Noto Sans CJK SC" w:eastAsia="Noto Sans CJK SC"/>
          <w:b/>
          <w:color w:val="1F4E79"/>
          <w:sz w:val="28"/>
        </w:rPr>
        <w:t>9.2 系统驱动模式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定时任务/实时监控 → Inspection Runtime发现异常 → Diagnosis Runtime自动诊断 → Workflow Runtime生成建议或执行动作 → Conversation OS通知用户。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适合ROI异常、消耗异常、激活异常、回传异常、创意衰退、链路故障、包状态异常等场景。</w:t>
      </w:r>
    </w:p>
    <w:p>
      <w:pPr>
        <w:pStyle w:val="Heading2"/>
        <w:spacing w:before="200" w:after="80"/>
      </w:pPr>
      <w:r>
        <w:rPr>
          <w:rFonts w:ascii="Noto Sans CJK SC" w:hAnsi="Noto Sans CJK SC" w:eastAsia="Noto Sans CJK SC"/>
          <w:b/>
          <w:color w:val="1F4E79"/>
          <w:sz w:val="28"/>
        </w:rPr>
        <w:t>9.3 交付驱动模式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发行提出需求 → AI澄清需求 → 检查文档、账号、权限、参数、字段 → 自动生成方案、配置、工单、联调计划 → 自动执行可自动化步骤 → 人工处理特殊规则 → 系统跟踪交付进度。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适合新媒体接入、监测回传接入、投放数据采集接入、报表需求接入、联调交付等场景。</w:t>
      </w:r>
    </w:p>
    <w:p>
      <w:pPr>
        <w:pStyle w:val="Heading1"/>
        <w:spacing w:before="280" w:after="120"/>
        <w:pBdr>
          <w:bottom w:val="single" w:sz="8" w:space="4" w:color="D9EAF7"/>
        </w:pBdr>
      </w:pPr>
      <w:r>
        <w:rPr>
          <w:rFonts w:ascii="Noto Sans CJK SC" w:hAnsi="Noto Sans CJK SC" w:eastAsia="Noto Sans CJK SC"/>
          <w:b/>
          <w:color w:val="17365D"/>
          <w:sz w:val="36"/>
        </w:rPr>
        <w:t>10. 重点场景设计</w:t>
      </w:r>
    </w:p>
    <w:p>
      <w:pPr>
        <w:pStyle w:val="Heading2"/>
        <w:spacing w:before="200" w:after="80"/>
      </w:pPr>
      <w:r>
        <w:rPr>
          <w:rFonts w:ascii="Noto Sans CJK SC" w:hAnsi="Noto Sans CJK SC" w:eastAsia="Noto Sans CJK SC"/>
          <w:b/>
          <w:color w:val="1F4E79"/>
          <w:sz w:val="28"/>
        </w:rPr>
        <w:t>10.1 新媒体监测回传接入</w:t>
      </w:r>
    </w:p>
    <w:p>
      <w:pPr>
        <w:pStyle w:val="ListNumber"/>
        <w:spacing w:after="30" w:line="259" w:lineRule="auto"/>
        <w:ind w:left="283"/>
      </w:pPr>
      <w:r>
        <w:rPr>
          <w:rFonts w:ascii="Noto Sans CJK SC" w:hAnsi="Noto Sans CJK SC" w:eastAsia="Noto Sans CJK SC"/>
          <w:color w:val="1F2933"/>
          <w:sz w:val="20"/>
        </w:rPr>
        <w:t>发行通过对话提出新媒体接入需求。</w:t>
      </w:r>
    </w:p>
    <w:p>
      <w:pPr>
        <w:pStyle w:val="ListNumber"/>
        <w:spacing w:after="30" w:line="259" w:lineRule="auto"/>
        <w:ind w:left="283"/>
      </w:pPr>
      <w:r>
        <w:rPr>
          <w:rFonts w:ascii="Noto Sans CJK SC" w:hAnsi="Noto Sans CJK SC" w:eastAsia="Noto Sans CJK SC"/>
          <w:color w:val="1F2933"/>
          <w:sz w:val="20"/>
        </w:rPr>
        <w:t>AI多轮确认媒体、项目、包、投放目标、归因规则和回传目标。</w:t>
      </w:r>
    </w:p>
    <w:p>
      <w:pPr>
        <w:pStyle w:val="ListNumber"/>
        <w:spacing w:after="30" w:line="259" w:lineRule="auto"/>
        <w:ind w:left="283"/>
      </w:pPr>
      <w:r>
        <w:rPr>
          <w:rFonts w:ascii="Noto Sans CJK SC" w:hAnsi="Noto Sans CJK SC" w:eastAsia="Noto Sans CJK SC"/>
          <w:color w:val="1F2933"/>
          <w:sz w:val="20"/>
        </w:rPr>
        <w:t>AI读取或匹配媒体接入文档，检查点击参数、回传参数、归因结果接收要求。</w:t>
      </w:r>
    </w:p>
    <w:p>
      <w:pPr>
        <w:pStyle w:val="ListNumber"/>
        <w:spacing w:after="30" w:line="259" w:lineRule="auto"/>
        <w:ind w:left="283"/>
      </w:pPr>
      <w:r>
        <w:rPr>
          <w:rFonts w:ascii="Noto Sans CJK SC" w:hAnsi="Noto Sans CJK SC" w:eastAsia="Noto Sans CJK SC"/>
          <w:color w:val="1F2933"/>
          <w:sz w:val="20"/>
        </w:rPr>
        <w:t>调用配置MCP生成监测链接或配置草案。</w:t>
      </w:r>
    </w:p>
    <w:p>
      <w:pPr>
        <w:pStyle w:val="ListNumber"/>
        <w:spacing w:after="30" w:line="259" w:lineRule="auto"/>
        <w:ind w:left="283"/>
      </w:pPr>
      <w:r>
        <w:rPr>
          <w:rFonts w:ascii="Noto Sans CJK SC" w:hAnsi="Noto Sans CJK SC" w:eastAsia="Noto Sans CJK SC"/>
          <w:color w:val="1F2933"/>
          <w:sz w:val="20"/>
        </w:rPr>
        <w:t>检查测试账号、开发者账号、白名单、权限等业务侧准备项。</w:t>
      </w:r>
    </w:p>
    <w:p>
      <w:pPr>
        <w:pStyle w:val="ListNumber"/>
        <w:spacing w:after="30" w:line="259" w:lineRule="auto"/>
        <w:ind w:left="283"/>
      </w:pPr>
      <w:r>
        <w:rPr>
          <w:rFonts w:ascii="Noto Sans CJK SC" w:hAnsi="Noto Sans CJK SC" w:eastAsia="Noto Sans CJK SC"/>
          <w:color w:val="1F2933"/>
          <w:sz w:val="20"/>
        </w:rPr>
        <w:t>结合联调服务自动发起测试，生成联调截图、日志、失败原因和联调记录。</w:t>
      </w:r>
    </w:p>
    <w:p>
      <w:pPr>
        <w:pStyle w:val="ListNumber"/>
        <w:spacing w:after="30" w:line="259" w:lineRule="auto"/>
        <w:ind w:left="283"/>
      </w:pPr>
      <w:r>
        <w:rPr>
          <w:rFonts w:ascii="Noto Sans CJK SC" w:hAnsi="Noto Sans CJK SC" w:eastAsia="Noto Sans CJK SC"/>
          <w:color w:val="1F2933"/>
          <w:sz w:val="20"/>
        </w:rPr>
        <w:t>无法自动闭环的特殊规则适配，自动生成开发需求工单，并附带文档、参数、规则和上下文。</w:t>
      </w:r>
    </w:p>
    <w:p>
      <w:pPr>
        <w:pStyle w:val="Heading2"/>
        <w:spacing w:before="200" w:after="80"/>
      </w:pPr>
      <w:r>
        <w:rPr>
          <w:rFonts w:ascii="Noto Sans CJK SC" w:hAnsi="Noto Sans CJK SC" w:eastAsia="Noto Sans CJK SC"/>
          <w:b/>
          <w:color w:val="1F4E79"/>
          <w:sz w:val="28"/>
        </w:rPr>
        <w:t>10.2 投放数据采集接入</w:t>
      </w:r>
    </w:p>
    <w:p>
      <w:pPr>
        <w:pStyle w:val="ListNumber"/>
        <w:spacing w:after="30" w:line="259" w:lineRule="auto"/>
        <w:ind w:left="283"/>
      </w:pPr>
      <w:r>
        <w:rPr>
          <w:rFonts w:ascii="Noto Sans CJK SC" w:hAnsi="Noto Sans CJK SC" w:eastAsia="Noto Sans CJK SC"/>
          <w:color w:val="1F2933"/>
          <w:sz w:val="20"/>
        </w:rPr>
        <w:t>发行提出某平台投放数据或发行数据采集需求。</w:t>
      </w:r>
    </w:p>
    <w:p>
      <w:pPr>
        <w:pStyle w:val="ListNumber"/>
        <w:spacing w:after="30" w:line="259" w:lineRule="auto"/>
        <w:ind w:left="283"/>
      </w:pPr>
      <w:r>
        <w:rPr>
          <w:rFonts w:ascii="Noto Sans CJK SC" w:hAnsi="Noto Sans CJK SC" w:eastAsia="Noto Sans CJK SC"/>
          <w:color w:val="1F2933"/>
          <w:sz w:val="20"/>
        </w:rPr>
        <w:t>AI确认平台、账号、授权方式、密钥、权限范围和刷新频率。</w:t>
      </w:r>
    </w:p>
    <w:p>
      <w:pPr>
        <w:pStyle w:val="ListNumber"/>
        <w:spacing w:after="30" w:line="259" w:lineRule="auto"/>
        <w:ind w:left="283"/>
      </w:pPr>
      <w:r>
        <w:rPr>
          <w:rFonts w:ascii="Noto Sans CJK SC" w:hAnsi="Noto Sans CJK SC" w:eastAsia="Noto Sans CJK SC"/>
          <w:color w:val="1F2933"/>
          <w:sz w:val="20"/>
        </w:rPr>
        <w:t>AI检查需要采集的字段、字段含义、指标口径、维度粒度和时间粒度。</w:t>
      </w:r>
    </w:p>
    <w:p>
      <w:pPr>
        <w:pStyle w:val="ListNumber"/>
        <w:spacing w:after="30" w:line="259" w:lineRule="auto"/>
        <w:ind w:left="283"/>
      </w:pPr>
      <w:r>
        <w:rPr>
          <w:rFonts w:ascii="Noto Sans CJK SC" w:hAnsi="Noto Sans CJK SC" w:eastAsia="Noto Sans CJK SC"/>
          <w:color w:val="1F2933"/>
          <w:sz w:val="20"/>
        </w:rPr>
        <w:t>完成字段归一化映射，明确与现有指标体系的关系。</w:t>
      </w:r>
    </w:p>
    <w:p>
      <w:pPr>
        <w:pStyle w:val="ListNumber"/>
        <w:spacing w:after="30" w:line="259" w:lineRule="auto"/>
        <w:ind w:left="283"/>
      </w:pPr>
      <w:r>
        <w:rPr>
          <w:rFonts w:ascii="Noto Sans CJK SC" w:hAnsi="Noto Sans CJK SC" w:eastAsia="Noto Sans CJK SC"/>
          <w:color w:val="1F2933"/>
          <w:sz w:val="20"/>
        </w:rPr>
        <w:t>与业务确认报表展示需求、模板、过滤条件、权限范围和订阅方式。</w:t>
      </w:r>
    </w:p>
    <w:p>
      <w:pPr>
        <w:pStyle w:val="ListNumber"/>
        <w:spacing w:after="30" w:line="259" w:lineRule="auto"/>
        <w:ind w:left="283"/>
      </w:pPr>
      <w:r>
        <w:rPr>
          <w:rFonts w:ascii="Noto Sans CJK SC" w:hAnsi="Noto Sans CJK SC" w:eastAsia="Noto Sans CJK SC"/>
          <w:color w:val="1F2933"/>
          <w:sz w:val="20"/>
        </w:rPr>
        <w:t>生成数据接入方案、字段映射清单、报表方案和实施工单。</w:t>
      </w:r>
    </w:p>
    <w:p>
      <w:pPr>
        <w:pStyle w:val="ListNumber"/>
        <w:spacing w:after="30" w:line="259" w:lineRule="auto"/>
        <w:ind w:left="283"/>
      </w:pPr>
      <w:r>
        <w:rPr>
          <w:rFonts w:ascii="Noto Sans CJK SC" w:hAnsi="Noto Sans CJK SC" w:eastAsia="Noto Sans CJK SC"/>
          <w:color w:val="1F2933"/>
          <w:sz w:val="20"/>
        </w:rPr>
        <w:t>接入完成后进入报表服务、巡检服务和诊断服务体系。</w:t>
      </w:r>
    </w:p>
    <w:p>
      <w:pPr>
        <w:pStyle w:val="Heading1"/>
        <w:spacing w:before="280" w:after="120"/>
        <w:pBdr>
          <w:bottom w:val="single" w:sz="8" w:space="4" w:color="D9EAF7"/>
        </w:pBdr>
      </w:pPr>
      <w:r>
        <w:rPr>
          <w:rFonts w:ascii="Noto Sans CJK SC" w:hAnsi="Noto Sans CJK SC" w:eastAsia="Noto Sans CJK SC"/>
          <w:b/>
          <w:color w:val="17365D"/>
          <w:sz w:val="36"/>
        </w:rPr>
        <w:t>11. 自动化分级与风险控制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小乔智投不应一开始追求全自动，而应按风险分级演进。越接近预算、出价、暂停广告、回传规则变更等高风险动作，越需要审批、审计和回滚机制。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rHeight w:hRule="auto"/>
        </w:trPr>
        <w:tc>
          <w:tcPr>
            <w:tcW w:type="dxa" w:w="1757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357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74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适用场景</w:t>
            </w:r>
          </w:p>
        </w:tc>
      </w:tr>
      <w:tr>
        <w:trPr>
          <w:trHeight w:hRule="auto"/>
        </w:trPr>
        <w:tc>
          <w:tcPr>
            <w:tcW w:type="dxa" w:w="1757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L0 信息查询</w:t>
            </w:r>
          </w:p>
        </w:tc>
        <w:tc>
          <w:tcPr>
            <w:tcW w:type="dxa" w:w="357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系统只查数、查文档、查状态，不做判断。</w:t>
            </w:r>
          </w:p>
        </w:tc>
        <w:tc>
          <w:tcPr>
            <w:tcW w:type="dxa" w:w="374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查包状态、查媒体文档、查指标。</w:t>
            </w:r>
          </w:p>
        </w:tc>
      </w:tr>
      <w:tr>
        <w:trPr>
          <w:trHeight w:hRule="auto"/>
        </w:trPr>
        <w:tc>
          <w:tcPr>
            <w:tcW w:type="dxa" w:w="1757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L1 分析解释</w:t>
            </w:r>
          </w:p>
        </w:tc>
        <w:tc>
          <w:tcPr>
            <w:tcW w:type="dxa" w:w="357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系统给出分析、排查和诊断结论。</w:t>
            </w:r>
          </w:p>
        </w:tc>
        <w:tc>
          <w:tcPr>
            <w:tcW w:type="dxa" w:w="374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ROI下降分析、激活缺失排查。</w:t>
            </w:r>
          </w:p>
        </w:tc>
      </w:tr>
      <w:tr>
        <w:trPr>
          <w:trHeight w:hRule="auto"/>
        </w:trPr>
        <w:tc>
          <w:tcPr>
            <w:tcW w:type="dxa" w:w="1757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L2 建议方案</w:t>
            </w:r>
          </w:p>
        </w:tc>
        <w:tc>
          <w:tcPr>
            <w:tcW w:type="dxa" w:w="357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系统给出下一步建议，但不执行。</w:t>
            </w:r>
          </w:p>
        </w:tc>
        <w:tc>
          <w:tcPr>
            <w:tcW w:type="dxa" w:w="374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预算建议、素材优化建议。</w:t>
            </w:r>
          </w:p>
        </w:tc>
      </w:tr>
      <w:tr>
        <w:trPr>
          <w:trHeight w:hRule="auto"/>
        </w:trPr>
        <w:tc>
          <w:tcPr>
            <w:tcW w:type="dxa" w:w="1757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L3 半自动执行</w:t>
            </w:r>
          </w:p>
        </w:tc>
        <w:tc>
          <w:tcPr>
            <w:tcW w:type="dxa" w:w="357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系统生成配置、工单或操作方案，由人工确认。</w:t>
            </w:r>
          </w:p>
        </w:tc>
        <w:tc>
          <w:tcPr>
            <w:tcW w:type="dxa" w:w="374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生成监测链接、生成开发工单、生成调预算方案。</w:t>
            </w:r>
          </w:p>
        </w:tc>
      </w:tr>
      <w:tr>
        <w:trPr>
          <w:trHeight w:hRule="auto"/>
        </w:trPr>
        <w:tc>
          <w:tcPr>
            <w:tcW w:type="dxa" w:w="1757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L4 低风险自动执行</w:t>
            </w:r>
          </w:p>
        </w:tc>
        <w:tc>
          <w:tcPr>
            <w:tcW w:type="dxa" w:w="357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系统自动执行低风险、可回滚动作。</w:t>
            </w:r>
          </w:p>
        </w:tc>
        <w:tc>
          <w:tcPr>
            <w:tcW w:type="dxa" w:w="374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低风险联调测试、日报推送、任务重跑。</w:t>
            </w:r>
          </w:p>
        </w:tc>
      </w:tr>
      <w:tr>
        <w:trPr>
          <w:trHeight w:hRule="auto"/>
        </w:trPr>
        <w:tc>
          <w:tcPr>
            <w:tcW w:type="dxa" w:w="1757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L5 高成熟自动闭环</w:t>
            </w:r>
          </w:p>
        </w:tc>
        <w:tc>
          <w:tcPr>
            <w:tcW w:type="dxa" w:w="357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在稳定场景中实现自动发现、自动诊断、自动执行、自动复盘。</w:t>
            </w:r>
          </w:p>
        </w:tc>
        <w:tc>
          <w:tcPr>
            <w:tcW w:type="dxa" w:w="374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成熟巡检场景、稳定SOP流程。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EAF4FB"/>
            <w:tcBorders>
              <w:top w:sz="8" w:val="single" w:color="9CC6DF"/>
              <w:left w:sz="8" w:val="single" w:color="9CC6DF"/>
              <w:bottom w:sz="8" w:val="single" w:color="9CC6DF"/>
              <w:right w:sz="8" w:val="single" w:color="9CC6DF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65D"/>
                <w:sz w:val="23"/>
              </w:rPr>
              <w:t>自动化边界</w:t>
            </w:r>
          </w:p>
          <w:p>
            <w:pPr>
              <w:spacing w:line="264" w:lineRule="auto" w:after="40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涉及预算、出价、暂停广告、回传规则变更等高风险动作，默认需要人工确认。涉及数据口径、字段标准、权限策略，必须遵循数仓和数据治理规范。特殊规则、代码适配、非标准协议，自动生成工单并进入人工处理。所有自动执行必须可审计、可回滚、可追踪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  <w:pBdr>
          <w:bottom w:val="single" w:sz="8" w:space="4" w:color="D9EAF7"/>
        </w:pBdr>
      </w:pPr>
      <w:r>
        <w:rPr>
          <w:rFonts w:ascii="Noto Sans CJK SC" w:hAnsi="Noto Sans CJK SC" w:eastAsia="Noto Sans CJK SC"/>
          <w:b/>
          <w:color w:val="17365D"/>
          <w:sz w:val="36"/>
        </w:rPr>
        <w:t>12. 与数仓、旧智投、技术团队的边界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/>
          <w:color w:val="17365D"/>
          <w:sz w:val="21"/>
        </w:rPr>
        <w:t>为避免与部门内“数据开发平台”混淆，本文不再使用“平台服务负责”这一表述，统一改为“旧智投负责”。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rHeight w:hRule="auto"/>
        </w:trPr>
        <w:tc>
          <w:tcPr>
            <w:tcW w:type="dxa" w:w="1701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团队/系统</w:t>
            </w:r>
          </w:p>
        </w:tc>
        <w:tc>
          <w:tcPr>
            <w:tcW w:type="dxa" w:w="3969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负责范围</w:t>
            </w:r>
          </w:p>
        </w:tc>
        <w:tc>
          <w:tcPr>
            <w:tcW w:type="dxa" w:w="340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边界原则</w:t>
            </w:r>
          </w:p>
        </w:tc>
      </w:tr>
      <w:tr>
        <w:trPr>
          <w:trHeight w:hRule="auto"/>
        </w:trPr>
        <w:tc>
          <w:tcPr>
            <w:tcW w:type="dxa" w:w="1701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数仓</w:t>
            </w:r>
          </w:p>
        </w:tc>
        <w:tc>
          <w:tcPr>
            <w:tcW w:type="dxa" w:w="3969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数据资产、指标口径、语义层、数据质量、权限治理、数据血缘、新指标、新宽表、新口径。</w:t>
            </w:r>
          </w:p>
        </w:tc>
        <w:tc>
          <w:tcPr>
            <w:tcW w:type="dxa" w:w="340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建设可信数据和标准口径，是所有数据智能与诊断的可信基础。</w:t>
            </w:r>
          </w:p>
        </w:tc>
      </w:tr>
      <w:tr>
        <w:trPr>
          <w:trHeight w:hRule="auto"/>
        </w:trPr>
        <w:tc>
          <w:tcPr>
            <w:tcW w:type="dxa" w:w="1701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小乔智投</w:t>
            </w:r>
          </w:p>
        </w:tc>
        <w:tc>
          <w:tcPr>
            <w:tcW w:type="dxa" w:w="3969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自然语言访问、服务编排、任务运行、自动分析、自动排查、自动诊断、自动交付、结果解释。</w:t>
            </w:r>
          </w:p>
        </w:tc>
        <w:tc>
          <w:tcPr>
            <w:tcW w:type="dxa" w:w="340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不替代数仓治理，不直接制造口径；负责把可信数据和已有能力服务化、智能化、自动化。</w:t>
            </w:r>
          </w:p>
        </w:tc>
      </w:tr>
      <w:tr>
        <w:trPr>
          <w:trHeight w:hRule="auto"/>
        </w:trPr>
        <w:tc>
          <w:tcPr>
            <w:tcW w:type="dxa" w:w="1701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旧智投</w:t>
            </w:r>
          </w:p>
        </w:tc>
        <w:tc>
          <w:tcPr>
            <w:tcW w:type="dxa" w:w="3969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广告平台接口、配置接口、包管理接口、联调接口、媒体接入接口、投放操作接口、回传配置接口。</w:t>
            </w:r>
          </w:p>
        </w:tc>
        <w:tc>
          <w:tcPr>
            <w:tcW w:type="dxa" w:w="340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提供可执行能力与现有业务系统能力，小乔智投通过MCP/API/Workflow进行调用和编排。</w:t>
            </w:r>
          </w:p>
        </w:tc>
      </w:tr>
      <w:tr>
        <w:trPr>
          <w:trHeight w:hRule="auto"/>
        </w:trPr>
        <w:tc>
          <w:tcPr>
            <w:tcW w:type="dxa" w:w="1701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技术团队</w:t>
            </w:r>
          </w:p>
        </w:tc>
        <w:tc>
          <w:tcPr>
            <w:tcW w:type="dxa" w:w="3969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核心系统稳定性、接口能力建设、权限审计、非标准适配、复杂开发需求、自动化执行安全。</w:t>
            </w:r>
          </w:p>
        </w:tc>
        <w:tc>
          <w:tcPr>
            <w:tcW w:type="dxa" w:w="3402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保障底层能力可用、可控、可审计；处理AI无法自动闭环的复杂工程问题。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EAF4FB"/>
            <w:tcBorders>
              <w:top w:sz="8" w:val="single" w:color="9CC6DF"/>
              <w:left w:sz="8" w:val="single" w:color="9CC6DF"/>
              <w:bottom w:sz="8" w:val="single" w:color="9CC6DF"/>
              <w:right w:sz="8" w:val="single" w:color="9CC6DF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65D"/>
                <w:sz w:val="23"/>
              </w:rPr>
              <w:t>职责总原则</w:t>
            </w:r>
          </w:p>
          <w:p>
            <w:pPr>
              <w:spacing w:line="264" w:lineRule="auto" w:after="40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数仓建设可信数据，旧智投提供可执行能力，技术团队保障系统稳定与复杂适配，小乔智投负责编排服务并完成任务。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  <w:pBdr>
          <w:bottom w:val="single" w:sz="8" w:space="4" w:color="D9EAF7"/>
        </w:pBdr>
      </w:pPr>
      <w:r>
        <w:rPr>
          <w:rFonts w:ascii="Noto Sans CJK SC" w:hAnsi="Noto Sans CJK SC" w:eastAsia="Noto Sans CJK SC"/>
          <w:b/>
          <w:color w:val="17365D"/>
          <w:sz w:val="36"/>
        </w:rPr>
        <w:t>13. 技术建设原则</w:t>
      </w:r>
    </w:p>
    <w:p>
      <w:pPr>
        <w:pStyle w:val="Heading3"/>
        <w:spacing w:before="120" w:after="40"/>
      </w:pPr>
      <w:r>
        <w:rPr>
          <w:rFonts w:ascii="Noto Sans CJK SC" w:hAnsi="Noto Sans CJK SC" w:eastAsia="Noto Sans CJK SC"/>
          <w:b/>
          <w:color w:val="1F2933"/>
          <w:sz w:val="23"/>
        </w:rPr>
        <w:t>Runtime优先，不做单点脚本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所有巡检、诊断、联调、接入和广告操作都应沉淀为可配置、可复用、可调度的Runtime能力。</w:t>
      </w:r>
    </w:p>
    <w:p>
      <w:pPr>
        <w:pStyle w:val="Heading3"/>
        <w:spacing w:before="120" w:after="40"/>
      </w:pPr>
      <w:r>
        <w:rPr>
          <w:rFonts w:ascii="Noto Sans CJK SC" w:hAnsi="Noto Sans CJK SC" w:eastAsia="Noto Sans CJK SC"/>
          <w:b/>
          <w:color w:val="1F2933"/>
          <w:sz w:val="23"/>
        </w:rPr>
        <w:t>Workflow优先，Agent辅助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高频标准流程用Workflow保证稳定性，复杂判断和自然语言理解由Agent辅助完成。</w:t>
      </w:r>
    </w:p>
    <w:p>
      <w:pPr>
        <w:pStyle w:val="Heading3"/>
        <w:spacing w:before="120" w:after="40"/>
      </w:pPr>
      <w:r>
        <w:rPr>
          <w:rFonts w:ascii="Noto Sans CJK SC" w:hAnsi="Noto Sans CJK SC" w:eastAsia="Noto Sans CJK SC"/>
          <w:b/>
          <w:color w:val="1F2933"/>
          <w:sz w:val="23"/>
        </w:rPr>
        <w:t>证据链优先，避免黑盒结论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查数、分析、排查、诊断、预测和建议都需要展示数据来源、指标口径、查询条件、对比基准、异常证据和建议理由。</w:t>
      </w:r>
    </w:p>
    <w:p>
      <w:pPr>
        <w:pStyle w:val="Heading3"/>
        <w:spacing w:before="120" w:after="40"/>
      </w:pPr>
      <w:r>
        <w:rPr>
          <w:rFonts w:ascii="Noto Sans CJK SC" w:hAnsi="Noto Sans CJK SC" w:eastAsia="Noto Sans CJK SC"/>
          <w:b/>
          <w:color w:val="1F2933"/>
          <w:sz w:val="23"/>
        </w:rPr>
        <w:t>人工兜底优先，逐步提升自动化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不能自动闭环的场景，不应失败退出，而应自动生成工单、补齐上下文、转人工处理。</w:t>
      </w:r>
    </w:p>
    <w:p>
      <w:pPr>
        <w:pStyle w:val="Heading3"/>
        <w:spacing w:before="120" w:after="40"/>
      </w:pPr>
      <w:r>
        <w:rPr>
          <w:rFonts w:ascii="Noto Sans CJK SC" w:hAnsi="Noto Sans CJK SC" w:eastAsia="Noto Sans CJK SC"/>
          <w:b/>
          <w:color w:val="1F2933"/>
          <w:sz w:val="23"/>
        </w:rPr>
        <w:t>权限和审计优先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所有涉及数据访问、配置修改、广告操作、预算调整、回传规则变更的动作，都必须有权限控制、审批机制和操作审计。</w:t>
      </w:r>
    </w:p>
    <w:p>
      <w:pPr>
        <w:pStyle w:val="Heading3"/>
        <w:spacing w:before="120" w:after="40"/>
      </w:pPr>
      <w:r>
        <w:rPr>
          <w:rFonts w:ascii="Noto Sans CJK SC" w:hAnsi="Noto Sans CJK SC" w:eastAsia="Noto Sans CJK SC"/>
          <w:b/>
          <w:color w:val="1F2933"/>
          <w:sz w:val="23"/>
        </w:rPr>
        <w:t>评测体系优先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持续评测意图识别、服务路由、数据结果、诊断结论、任务执行和自动化动作安全性。</w:t>
      </w:r>
    </w:p>
    <w:p>
      <w:pPr>
        <w:pStyle w:val="Heading1"/>
        <w:spacing w:before="280" w:after="120"/>
        <w:pBdr>
          <w:bottom w:val="single" w:sz="8" w:space="4" w:color="D9EAF7"/>
        </w:pBdr>
      </w:pPr>
      <w:r>
        <w:rPr>
          <w:rFonts w:ascii="Noto Sans CJK SC" w:hAnsi="Noto Sans CJK SC" w:eastAsia="Noto Sans CJK SC"/>
          <w:b/>
          <w:color w:val="17365D"/>
          <w:sz w:val="36"/>
        </w:rPr>
        <w:t>14. 治理要求：可信、可控、可追踪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小乔智投如果要从“助手”升级为“服务操作系统”，必须把可信、可控、可追踪作为产品底座，而不是后置补丁。尤其在投放预算、回传配置、数据口径、权限授权和自动化执行场景中，治理能力直接决定产品能否上线规模化使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rHeight w:hRule="auto"/>
        </w:trPr>
        <w:tc>
          <w:tcPr>
            <w:tcW w:type="dxa" w:w="249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治理对象</w:t>
            </w:r>
          </w:p>
        </w:tc>
        <w:tc>
          <w:tcPr>
            <w:tcW w:type="dxa" w:w="6576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必须具备的能力</w:t>
            </w:r>
          </w:p>
        </w:tc>
      </w:tr>
      <w:tr>
        <w:trPr>
          <w:trHeight w:hRule="auto"/>
        </w:trPr>
        <w:tc>
          <w:tcPr>
            <w:tcW w:type="dxa" w:w="249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数据结果</w:t>
            </w:r>
          </w:p>
        </w:tc>
        <w:tc>
          <w:tcPr>
            <w:tcW w:type="dxa" w:w="6576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口径说明、来源说明、查询条件、权限校验、血缘追踪。</w:t>
            </w:r>
          </w:p>
        </w:tc>
      </w:tr>
      <w:tr>
        <w:trPr>
          <w:trHeight w:hRule="auto"/>
        </w:trPr>
        <w:tc>
          <w:tcPr>
            <w:tcW w:type="dxa" w:w="249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诊断结论</w:t>
            </w:r>
          </w:p>
        </w:tc>
        <w:tc>
          <w:tcPr>
            <w:tcW w:type="dxa" w:w="6576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异常证据、对比基准、置信度、可复查链路。</w:t>
            </w:r>
          </w:p>
        </w:tc>
      </w:tr>
      <w:tr>
        <w:trPr>
          <w:trHeight w:hRule="auto"/>
        </w:trPr>
        <w:tc>
          <w:tcPr>
            <w:tcW w:type="dxa" w:w="249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策略建议</w:t>
            </w:r>
          </w:p>
        </w:tc>
        <w:tc>
          <w:tcPr>
            <w:tcW w:type="dxa" w:w="6576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建议理由、影响范围、预期收益、风险提示。</w:t>
            </w:r>
          </w:p>
        </w:tc>
      </w:tr>
      <w:tr>
        <w:trPr>
          <w:trHeight w:hRule="auto"/>
        </w:trPr>
        <w:tc>
          <w:tcPr>
            <w:tcW w:type="dxa" w:w="249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自动执行</w:t>
            </w:r>
          </w:p>
        </w:tc>
        <w:tc>
          <w:tcPr>
            <w:tcW w:type="dxa" w:w="6576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审批、权限、执行记录、失败重试、回滚机制。</w:t>
            </w:r>
          </w:p>
        </w:tc>
      </w:tr>
      <w:tr>
        <w:trPr>
          <w:trHeight w:hRule="auto"/>
        </w:trPr>
        <w:tc>
          <w:tcPr>
            <w:tcW w:type="dxa" w:w="2494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工单流转</w:t>
            </w:r>
          </w:p>
        </w:tc>
        <w:tc>
          <w:tcPr>
            <w:tcW w:type="dxa" w:w="6576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上下文自动附带、处理状态追踪、结果回填。</w:t>
            </w:r>
          </w:p>
        </w:tc>
      </w:tr>
    </w:tbl>
    <w:p>
      <w:pPr>
        <w:pStyle w:val="Heading1"/>
        <w:spacing w:before="280" w:after="120"/>
        <w:pBdr>
          <w:bottom w:val="single" w:sz="8" w:space="4" w:color="D9EAF7"/>
        </w:pBdr>
      </w:pPr>
      <w:r>
        <w:rPr>
          <w:rFonts w:ascii="Noto Sans CJK SC" w:hAnsi="Noto Sans CJK SC" w:eastAsia="Noto Sans CJK SC"/>
          <w:b/>
          <w:color w:val="17365D"/>
          <w:sz w:val="36"/>
        </w:rPr>
        <w:t>15. 产品运营与能力沉淀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小乔智投不是一次性项目，而是持续演进的AI服务平台。其核心运营方式应从“接需求做功能”转为“沉淀服务能力”。每一次用户对话、接入需求、排查诊断、联调失败、工单处理，都应成为平台能力的一部分。</w:t>
      </w:r>
    </w:p>
    <w:p>
      <w:pPr>
        <w:pStyle w:val="ListBullet"/>
        <w:spacing w:after="30" w:line="259" w:lineRule="auto"/>
        <w:ind w:left="283"/>
      </w:pPr>
      <w:r>
        <w:rPr>
          <w:rFonts w:ascii="Noto Sans CJK SC" w:hAnsi="Noto Sans CJK SC" w:eastAsia="Noto Sans CJK SC"/>
          <w:color w:val="1F2933"/>
          <w:sz w:val="20"/>
        </w:rPr>
        <w:t>对话沉淀为意图体系、追问策略和服务路由规则。</w:t>
      </w:r>
    </w:p>
    <w:p>
      <w:pPr>
        <w:pStyle w:val="ListBullet"/>
        <w:spacing w:after="30" w:line="259" w:lineRule="auto"/>
        <w:ind w:left="283"/>
      </w:pPr>
      <w:r>
        <w:rPr>
          <w:rFonts w:ascii="Noto Sans CJK SC" w:hAnsi="Noto Sans CJK SC" w:eastAsia="Noto Sans CJK SC"/>
          <w:color w:val="1F2933"/>
          <w:sz w:val="20"/>
        </w:rPr>
        <w:t>数据问题沉淀为指标语义、异常规则和诊断模板。</w:t>
      </w:r>
    </w:p>
    <w:p>
      <w:pPr>
        <w:pStyle w:val="ListBullet"/>
        <w:spacing w:after="30" w:line="259" w:lineRule="auto"/>
        <w:ind w:left="283"/>
      </w:pPr>
      <w:r>
        <w:rPr>
          <w:rFonts w:ascii="Noto Sans CJK SC" w:hAnsi="Noto Sans CJK SC" w:eastAsia="Noto Sans CJK SC"/>
          <w:color w:val="1F2933"/>
          <w:sz w:val="20"/>
        </w:rPr>
        <w:t>接入问题沉淀为媒体规则库、参数库、字段映射库和联调模板。</w:t>
      </w:r>
    </w:p>
    <w:p>
      <w:pPr>
        <w:pStyle w:val="ListBullet"/>
        <w:spacing w:after="30" w:line="259" w:lineRule="auto"/>
        <w:ind w:left="283"/>
      </w:pPr>
      <w:r>
        <w:rPr>
          <w:rFonts w:ascii="Noto Sans CJK SC" w:hAnsi="Noto Sans CJK SC" w:eastAsia="Noto Sans CJK SC"/>
          <w:color w:val="1F2933"/>
          <w:sz w:val="20"/>
        </w:rPr>
        <w:t>投放问题沉淀为策略知识库、创意知识库和自动化SOP。</w:t>
      </w:r>
    </w:p>
    <w:p>
      <w:pPr>
        <w:pStyle w:val="ListBullet"/>
        <w:spacing w:after="30" w:line="259" w:lineRule="auto"/>
        <w:ind w:left="283"/>
      </w:pPr>
      <w:r>
        <w:rPr>
          <w:rFonts w:ascii="Noto Sans CJK SC" w:hAnsi="Noto Sans CJK SC" w:eastAsia="Noto Sans CJK SC"/>
          <w:color w:val="1F2933"/>
          <w:sz w:val="20"/>
        </w:rPr>
        <w:t>人工处理过程沉淀为可复用工单模板、Workflow节点和Runtime配置。</w:t>
      </w:r>
    </w:p>
    <w:p>
      <w:pPr>
        <w:pStyle w:val="Heading1"/>
        <w:spacing w:before="280" w:after="120"/>
        <w:pBdr>
          <w:bottom w:val="single" w:sz="8" w:space="4" w:color="D9EAF7"/>
        </w:pBdr>
      </w:pPr>
      <w:r>
        <w:rPr>
          <w:rFonts w:ascii="Noto Sans CJK SC" w:hAnsi="Noto Sans CJK SC" w:eastAsia="Noto Sans CJK SC"/>
          <w:b/>
          <w:color w:val="17365D"/>
          <w:sz w:val="36"/>
        </w:rPr>
        <w:t>16. 终局目标</w:t>
      </w:r>
    </w:p>
    <w:p>
      <w:pPr>
        <w:spacing w:before="0" w:after="80" w:line="283" w:lineRule="auto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小乔智投最终要成为游戏发行体系的四个统一入口：统一服务入口、统一数据入口、统一交付入口、统一自动化执行入口。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rHeight w:hRule="auto"/>
        </w:trPr>
        <w:tc>
          <w:tcPr>
            <w:tcW w:type="dxa" w:w="226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统一入口</w:t>
            </w:r>
          </w:p>
        </w:tc>
        <w:tc>
          <w:tcPr>
            <w:tcW w:type="dxa" w:w="6803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17365D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trHeight w:hRule="auto"/>
        </w:trPr>
        <w:tc>
          <w:tcPr>
            <w:tcW w:type="dxa" w:w="226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统一服务入口</w:t>
            </w:r>
          </w:p>
        </w:tc>
        <w:tc>
          <w:tcPr>
            <w:tcW w:type="dxa" w:w="6803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用户通过自然语言发起服务，不再关心找谁、怎么提、走什么流程。</w:t>
            </w:r>
          </w:p>
        </w:tc>
      </w:tr>
      <w:tr>
        <w:trPr>
          <w:trHeight w:hRule="auto"/>
        </w:trPr>
        <w:tc>
          <w:tcPr>
            <w:tcW w:type="dxa" w:w="226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统一数据入口</w:t>
            </w:r>
          </w:p>
        </w:tc>
        <w:tc>
          <w:tcPr>
            <w:tcW w:type="dxa" w:w="6803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用户通过可信语义层和数据智能能力完成查数、拼表、分析和洞察。</w:t>
            </w:r>
          </w:p>
        </w:tc>
      </w:tr>
      <w:tr>
        <w:trPr>
          <w:trHeight w:hRule="auto"/>
        </w:trPr>
        <w:tc>
          <w:tcPr>
            <w:tcW w:type="dxa" w:w="226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统一交付入口</w:t>
            </w:r>
          </w:p>
        </w:tc>
        <w:tc>
          <w:tcPr>
            <w:tcW w:type="dxa" w:w="6803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FFFFF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媒体接入、回传接入、数据采集、联调和报表接入统一通过AI推动。</w:t>
            </w:r>
          </w:p>
        </w:tc>
      </w:tr>
      <w:tr>
        <w:trPr>
          <w:trHeight w:hRule="auto"/>
        </w:trPr>
        <w:tc>
          <w:tcPr>
            <w:tcW w:type="dxa" w:w="2268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统一自动化执行入口</w:t>
            </w:r>
          </w:p>
        </w:tc>
        <w:tc>
          <w:tcPr>
            <w:tcW w:type="dxa" w:w="6803"/>
            <w:vAlign w:val="top"/>
            <w:tcBorders>
              <w:top w:sz="4" w:val="single" w:color="BFC7D1"/>
              <w:left w:sz="4" w:val="single" w:color="BFC7D1"/>
              <w:bottom w:sz="4" w:val="single" w:color="BFC7D1"/>
              <w:right w:sz="4" w:val="single" w:color="BFC7D1"/>
            </w:tcBorders>
            <w:shd w:fill="F8FAFC"/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巡检、排查、诊断、告警、SOP和投放操作逐步由系统自动执行。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EAF4FB"/>
            <w:tcBorders>
              <w:top w:sz="8" w:val="single" w:color="9CC6DF"/>
              <w:left w:sz="8" w:val="single" w:color="9CC6DF"/>
              <w:bottom w:sz="8" w:val="single" w:color="9CC6DF"/>
              <w:right w:sz="8" w:val="single" w:color="9CC6DF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65D"/>
                <w:sz w:val="23"/>
              </w:rPr>
              <w:t>终局闭环</w:t>
            </w:r>
          </w:p>
          <w:p>
            <w:pPr>
              <w:spacing w:line="264" w:lineRule="auto" w:after="40"/>
            </w:pPr>
            <w:r>
              <w:rPr>
                <w:rFonts w:ascii="Noto Sans CJK SC" w:hAnsi="Noto Sans CJK SC" w:eastAsia="Noto Sans CJK SC"/>
                <w:color w:val="1F2933"/>
                <w:sz w:val="20"/>
              </w:rPr>
              <w:t>发行提出目标 → AI理解目标 → AI获取数据 → AI判断问题 → AI生成方案 → AI推动交付 → AI执行任务 → AI沉淀经验。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  <w:pBdr>
          <w:bottom w:val="single" w:sz="8" w:space="4" w:color="D9EAF7"/>
        </w:pBdr>
      </w:pPr>
      <w:r>
        <w:rPr>
          <w:rFonts w:ascii="Noto Sans CJK SC" w:hAnsi="Noto Sans CJK SC" w:eastAsia="Noto Sans CJK SC"/>
          <w:b/>
          <w:color w:val="17365D"/>
          <w:sz w:val="36"/>
        </w:rPr>
        <w:t>17. 参考资料</w:t>
      </w:r>
    </w:p>
    <w:p>
      <w:pPr>
        <w:spacing w:after="40" w:line="252" w:lineRule="auto"/>
      </w:pPr>
      <w:r>
        <w:rPr>
          <w:rFonts w:ascii="Noto Sans CJK SC" w:hAnsi="Noto Sans CJK SC" w:eastAsia="Noto Sans CJK SC"/>
          <w:color w:val="1F2933"/>
          <w:sz w:val="17"/>
        </w:rPr>
        <w:t xml:space="preserve">[1] McKinsey &amp; Company, The state of AI: How organizations are rewiring to capture value, 2025-03-12. </w:t>
      </w:r>
      <w:hyperlink r:id="rId11">
        <w:r>
          <w:rPr>
            <w:color w:val="0563C1"/>
            <w:u w:val="single"/>
            <w:rFonts w:eastAsia="Noto Sans CJK SC" w:ascii="Noto Sans CJK SC" w:hAnsi="Noto Sans CJK SC"/>
          </w:rPr>
          <w:t>https://www.mckinsey.com/capabilities/quantumblack/our-insights/the-state-of-ai-how-organizations-are-rewiring-to-capture-value</w:t>
        </w:r>
      </w:hyperlink>
    </w:p>
    <w:p>
      <w:pPr>
        <w:spacing w:after="40" w:line="252" w:lineRule="auto"/>
      </w:pPr>
      <w:r>
        <w:rPr>
          <w:rFonts w:ascii="Noto Sans CJK SC" w:hAnsi="Noto Sans CJK SC" w:eastAsia="Noto Sans CJK SC"/>
          <w:color w:val="1F2933"/>
          <w:sz w:val="17"/>
        </w:rPr>
        <w:t xml:space="preserve">[2] McKinsey &amp; Company, The state of AI in 2025: Agents, innovation, and transformation, 2025-11-05. </w:t>
      </w:r>
      <w:hyperlink r:id="rId12">
        <w:r>
          <w:rPr>
            <w:color w:val="0563C1"/>
            <w:u w:val="single"/>
            <w:rFonts w:eastAsia="Noto Sans CJK SC" w:ascii="Noto Sans CJK SC" w:hAnsi="Noto Sans CJK SC"/>
          </w:rPr>
          <w:t>https://www.mckinsey.com/capabilities/quantumblack/our-insights/the-state-of-ai</w:t>
        </w:r>
      </w:hyperlink>
    </w:p>
    <w:p>
      <w:pPr>
        <w:spacing w:after="40" w:line="252" w:lineRule="auto"/>
      </w:pPr>
      <w:r>
        <w:rPr>
          <w:rFonts w:ascii="Noto Sans CJK SC" w:hAnsi="Noto Sans CJK SC" w:eastAsia="Noto Sans CJK SC"/>
          <w:color w:val="1F2933"/>
          <w:sz w:val="17"/>
        </w:rPr>
        <w:t xml:space="preserve">[3] Gartner, 40% of enterprise apps will feature task-specific AI agents by 2026, 2025-08-26. </w:t>
      </w:r>
      <w:hyperlink r:id="rId13">
        <w:r>
          <w:rPr>
            <w:color w:val="0563C1"/>
            <w:u w:val="single"/>
            <w:rFonts w:eastAsia="Noto Sans CJK SC" w:ascii="Noto Sans CJK SC" w:hAnsi="Noto Sans CJK SC"/>
          </w:rPr>
          <w:t>https://www.gartner.com/en/newsroom/press-releases/2025-08-26-gartner-predicts-40-percent-of-enterprise-apps-will-feature-task-specific-ai-agents-by-2026-up-from-less-than-5-percent-in-2025</w:t>
        </w:r>
      </w:hyperlink>
    </w:p>
    <w:p>
      <w:pPr>
        <w:spacing w:after="40" w:line="252" w:lineRule="auto"/>
      </w:pPr>
      <w:r>
        <w:rPr>
          <w:rFonts w:ascii="Noto Sans CJK SC" w:hAnsi="Noto Sans CJK SC" w:eastAsia="Noto Sans CJK SC"/>
          <w:color w:val="1F2933"/>
          <w:sz w:val="17"/>
        </w:rPr>
        <w:t xml:space="preserve">[4] Google Ads Help, About Performance Max campaigns. </w:t>
      </w:r>
      <w:hyperlink r:id="rId14">
        <w:r>
          <w:rPr>
            <w:color w:val="0563C1"/>
            <w:u w:val="single"/>
            <w:rFonts w:eastAsia="Noto Sans CJK SC" w:ascii="Noto Sans CJK SC" w:hAnsi="Noto Sans CJK SC"/>
          </w:rPr>
          <w:t>https://support.google.com/google-ads/answer/10724817?hl=en</w:t>
        </w:r>
      </w:hyperlink>
    </w:p>
    <w:p>
      <w:pPr>
        <w:spacing w:after="40" w:line="252" w:lineRule="auto"/>
      </w:pPr>
      <w:r>
        <w:rPr>
          <w:rFonts w:ascii="Noto Sans CJK SC" w:hAnsi="Noto Sans CJK SC" w:eastAsia="Noto Sans CJK SC"/>
          <w:color w:val="1F2933"/>
          <w:sz w:val="17"/>
        </w:rPr>
        <w:t xml:space="preserve">[5] Meta, Meta Advantage+ advertising products. </w:t>
      </w:r>
      <w:hyperlink r:id="rId15">
        <w:r>
          <w:rPr>
            <w:color w:val="0563C1"/>
            <w:u w:val="single"/>
            <w:rFonts w:eastAsia="Noto Sans CJK SC" w:ascii="Noto Sans CJK SC" w:hAnsi="Noto Sans CJK SC"/>
          </w:rPr>
          <w:t>https://www.facebook.com/business/ads/meta-advantage-plus</w:t>
        </w:r>
      </w:hyperlink>
    </w:p>
    <w:p>
      <w:pPr>
        <w:spacing w:after="40" w:line="252" w:lineRule="auto"/>
      </w:pPr>
      <w:r>
        <w:rPr>
          <w:rFonts w:ascii="Noto Sans CJK SC" w:hAnsi="Noto Sans CJK SC" w:eastAsia="Noto Sans CJK SC"/>
          <w:color w:val="1F2933"/>
          <w:sz w:val="17"/>
        </w:rPr>
        <w:t xml:space="preserve">[6] AppsFlyer Help Center, Postback macros for ad networks. </w:t>
      </w:r>
      <w:hyperlink r:id="rId16">
        <w:r>
          <w:rPr>
            <w:color w:val="0563C1"/>
            <w:u w:val="single"/>
            <w:rFonts w:eastAsia="Noto Sans CJK SC" w:ascii="Noto Sans CJK SC" w:hAnsi="Noto Sans CJK SC"/>
          </w:rPr>
          <w:t>https://support.appsflyer.com/hc/en-us/articles/207273946-Postback-macros-for-ad-networks</w:t>
        </w:r>
      </w:hyperlink>
    </w:p>
    <w:p>
      <w:pPr>
        <w:spacing w:after="40" w:line="252" w:lineRule="auto"/>
      </w:pPr>
      <w:r>
        <w:rPr>
          <w:rFonts w:ascii="Noto Sans CJK SC" w:hAnsi="Noto Sans CJK SC" w:eastAsia="Noto Sans CJK SC"/>
          <w:color w:val="1F2933"/>
          <w:sz w:val="17"/>
        </w:rPr>
        <w:t xml:space="preserve">[7] IAB Tech Lab, Defining Standards for the digital ecosystem. </w:t>
      </w:r>
      <w:hyperlink r:id="rId17">
        <w:r>
          <w:rPr>
            <w:color w:val="0563C1"/>
            <w:u w:val="single"/>
            <w:rFonts w:eastAsia="Noto Sans CJK SC" w:ascii="Noto Sans CJK SC" w:hAnsi="Noto Sans CJK SC"/>
          </w:rPr>
          <w:t>https://iabtechlab.com/</w:t>
        </w:r>
      </w:hyperlink>
    </w:p>
    <w:p>
      <w:pPr>
        <w:spacing w:after="40" w:line="252" w:lineRule="auto"/>
      </w:pPr>
      <w:r>
        <w:rPr>
          <w:rFonts w:ascii="Noto Sans CJK SC" w:hAnsi="Noto Sans CJK SC" w:eastAsia="Noto Sans CJK SC"/>
          <w:color w:val="1F2933"/>
          <w:sz w:val="17"/>
        </w:rPr>
        <w:t xml:space="preserve">[8] IAB, OpenRTB standard overview. </w:t>
      </w:r>
      <w:hyperlink r:id="rId18">
        <w:r>
          <w:rPr>
            <w:color w:val="0563C1"/>
            <w:u w:val="single"/>
            <w:rFonts w:eastAsia="Noto Sans CJK SC" w:ascii="Noto Sans CJK SC" w:hAnsi="Noto Sans CJK SC"/>
          </w:rPr>
          <w:t>https://www.iab.com/guidelines/openrtb/</w:t>
        </w:r>
      </w:hyperlink>
    </w:p>
    <w:sectPr>
      <w:headerReference w:type="default" r:id="rId9"/>
      <w:footerReference w:type="default" r:id="rId10"/>
      <w:pgSz w:w="11906" w:h="16838"/>
      <w:pgMar w:top="964" w:right="1049" w:bottom="964" w:left="104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Noto Sans CJK SC" w:hAnsi="Noto Sans CJK SC" w:eastAsia="Noto Sans CJK SC"/>
        <w:color w:val="5B677A"/>
        <w:sz w:val="17"/>
      </w:rPr>
      <w:t xml:space="preserve">内部资料 请勿外传  |  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5B677A"/>
        <w:sz w:val="17"/>
      </w:rPr>
      <w:t xml:space="preserve"> 页 / 共 </w:t>
    </w:r>
    <w:r>
      <w:fldChar w:fldCharType="begin"/>
      <w:instrText xml:space="preserve">NUMPAGES</w:instrText>
      <w:fldChar w:fldCharType="end"/>
    </w:r>
    <w:r>
      <w:rPr>
        <w:rFonts w:ascii="Noto Sans CJK SC" w:hAnsi="Noto Sans CJK SC" w:eastAsia="Noto Sans CJK SC"/>
        <w:color w:val="5B677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oto Sans CJK SC" w:hAnsi="Noto Sans CJK SC" w:eastAsia="Noto Sans CJK SC"/>
        <w:color w:val="5B677A"/>
        <w:sz w:val="17"/>
      </w:rPr>
      <w:t>公司内部白皮书｜小乔智投 AI Service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mckinsey.com/capabilities/quantumblack/our-insights/the-state-of-ai-how-organizations-are-rewiring-to-capture-value" TargetMode="External"/><Relationship Id="rId12" Type="http://schemas.openxmlformats.org/officeDocument/2006/relationships/hyperlink" Target="https://www.mckinsey.com/capabilities/quantumblack/our-insights/the-state-of-ai" TargetMode="External"/><Relationship Id="rId13" Type="http://schemas.openxmlformats.org/officeDocument/2006/relationships/hyperlink" Target="https://www.gartner.com/en/newsroom/press-releases/2025-08-26-gartner-predicts-40-percent-of-enterprise-apps-will-feature-task-specific-ai-agents-by-2026-up-from-less-than-5-percent-in-2025" TargetMode="External"/><Relationship Id="rId14" Type="http://schemas.openxmlformats.org/officeDocument/2006/relationships/hyperlink" Target="https://support.google.com/google-ads/answer/10724817?hl=en" TargetMode="External"/><Relationship Id="rId15" Type="http://schemas.openxmlformats.org/officeDocument/2006/relationships/hyperlink" Target="https://www.facebook.com/business/ads/meta-advantage-plus" TargetMode="External"/><Relationship Id="rId16" Type="http://schemas.openxmlformats.org/officeDocument/2006/relationships/hyperlink" Target="https://support.appsflyer.com/hc/en-us/articles/207273946-Postback-macros-for-ad-networks" TargetMode="External"/><Relationship Id="rId17" Type="http://schemas.openxmlformats.org/officeDocument/2006/relationships/hyperlink" Target="https://iabtechlab.com/" TargetMode="External"/><Relationship Id="rId18" Type="http://schemas.openxmlformats.org/officeDocument/2006/relationships/hyperlink" Target="https://www.iab.com/guidelines/openrt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小乔智投 AI服务平台产品白皮书</dc:title>
  <dc:subject>小乔智投AI服务平台产品规划白皮书</dc:subject>
  <dc:creator/>
  <cp:keywords>小乔智投, AI服务平台, 游戏发行, 广告投放, Conversation OS, AI Service OS, Data Intelligence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