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数据报表与MCP交付方案 时间: 2026-06-04 10:06:31 参与人: 徐韵</w:t>
      </w:r>
    </w:p>
    <w:p>
      <w:pPr>
        <w:jc w:val="center"/>
      </w:pPr>
      <w:r>
        <w:drawing>
          <wp:inline distT="0" distR="0" distB="0" distL="0">
            <wp:extent cx="5943600" cy="12057017"/>
            <wp:docPr id="0" name="Drawing 0" descr="https://ai-tingji-summary-visualization.oss-cn-hangzhou.aliyuncs.com/data%2Fpublish%2F7632756964333136333936383337313130305f343936383433323731365f35_qwen-plus_visual-summary%2Ftingji_visual_summary_cover_v4_1780552972.png?OSSAccessKeyId=LTAI5tPQmP8ZpF6A4SHU6jWN&amp;Expires=1938232975&amp;Signature=FoCugczwTU76XqIyWYVLl%2FccOns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33136333936383337313130305f343936383433323731365f35_qwen-plus_visual-summary%2Ftingji_visual_summary_cover_v4_1780552972.png?OSSAccessKeyId=LTAI5tPQmP8ZpF6A4SHU6jWN&amp;Expires=1938232975&amp;Signature=FoCugczwTU76XqIyWYVLl%2FccOns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本次会议围绕广告素材数据报表的建设与交付方案展开，重点讨论了数据范围、更新频率、产出形式、权限治理及MCP接口实现路径。核心进展是明确了以“广告+素材”为最小粒度的明细层宽表作为统一数据产出，并确定通过平台查询接口结合动态SQL生成的方式快速实现Agent调用能力，避免依赖多维等长周期能力开发。</w:t>
      </w:r>
    </w:p>
    <w:p>
      <w:pPr>
        <w:pStyle w:val="Heading2"/>
        <w:outlineLvl w:val="1"/>
      </w:pPr>
      <w:r>
        <w:t>数据范围与项目选择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媒体覆盖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国内3家媒体，国外3家媒体，共6家媒体（简称“六大媒体”）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项目范围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确定选取</w:t>
      </w:r>
      <w:r>
        <w:rPr>
          <w:b w:val="on"/>
          <w:sz w:val="24"/>
          <w:rFonts w:ascii="Microsoft YaHei" w:hAnsi="Microsoft YaHei" w:cs="Microsoft YaHei" w:eastAsia="Microsoft YaHei"/>
        </w:rPr>
        <w:t>新启动项目</w:t>
      </w:r>
      <w:r>
        <w:rPr>
          <w:rFonts w:ascii="Microsoft YaHei" w:hAnsi="Microsoft YaHei" w:cs="Microsoft YaHei" w:eastAsia="Microsoft YaHei"/>
          <w:sz w:val="24"/>
        </w:rPr>
        <w:t>以规避历史数据包袱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具体项目包括：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七塔西游奇幻冒险</w:t>
      </w:r>
      <w:r>
        <w:rPr>
          <w:rFonts w:ascii="Microsoft YaHei" w:hAnsi="Microsoft YaHei" w:cs="Microsoft YaHei" w:eastAsia="Microsoft YaHei"/>
          <w:sz w:val="24"/>
        </w:rPr>
        <w:t>：5月开始有预约数据，6月正式投放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10打工团</w:t>
      </w:r>
      <w:r>
        <w:rPr>
          <w:rFonts w:ascii="Microsoft YaHei" w:hAnsi="Microsoft YaHei" w:cs="Microsoft YaHei" w:eastAsia="Microsoft YaHei"/>
          <w:sz w:val="24"/>
        </w:rPr>
        <w:t>：已进入预约阶段，下周或下下周投放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月相</w:t>
      </w:r>
      <w:r>
        <w:rPr>
          <w:rFonts w:ascii="Microsoft YaHei" w:hAnsi="Microsoft YaHei" w:cs="Microsoft YaHei" w:eastAsia="Microsoft YaHei"/>
          <w:sz w:val="24"/>
        </w:rPr>
        <w:t>（木字旁“相”）：新项目，计划下月投放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I game奇幻</w:t>
      </w:r>
      <w:r>
        <w:rPr>
          <w:rFonts w:ascii="Microsoft YaHei" w:hAnsi="Microsoft YaHei" w:cs="Microsoft YaHei" w:eastAsia="Microsoft YaHei"/>
          <w:sz w:val="24"/>
        </w:rPr>
        <w:t>：即“西游奇幻冒险”，下周新投游戏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MA港澳台</w:t>
      </w:r>
      <w:r>
        <w:rPr>
          <w:rFonts w:ascii="Microsoft YaHei" w:hAnsi="Microsoft YaHei" w:cs="Microsoft YaHei" w:eastAsia="Microsoft YaHei"/>
          <w:sz w:val="24"/>
        </w:rPr>
        <w:t>：海外项目，已持续投放半年，需单独处理历史数据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时间范围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新项目统一从</w:t>
      </w:r>
      <w:r>
        <w:rPr>
          <w:b w:val="on"/>
          <w:sz w:val="24"/>
          <w:rFonts w:ascii="Microsoft YaHei" w:hAnsi="Microsoft YaHei" w:cs="Microsoft YaHei" w:eastAsia="Microsoft YaHei"/>
        </w:rPr>
        <w:t>6月1日</w:t>
      </w:r>
      <w:r>
        <w:rPr>
          <w:rFonts w:ascii="Microsoft YaHei" w:hAnsi="Microsoft YaHei" w:cs="Microsoft YaHei" w:eastAsia="Microsoft YaHei"/>
          <w:sz w:val="24"/>
        </w:rPr>
        <w:t>起提供数据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历史数据暂不处理，后续刷数时再统一补全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MA港澳台项目将作为首个验证历史数据刷数的游戏</w:t>
      </w:r>
    </w:p>
    <w:p>
      <w:pPr>
        <w:pStyle w:val="Heading2"/>
        <w:outlineLvl w:val="1"/>
      </w:pPr>
      <w:r>
        <w:t>数据更新频率与字段调研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更新频率管理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已建立</w:t>
      </w:r>
      <w:r>
        <w:rPr>
          <w:b w:val="on"/>
          <w:sz w:val="24"/>
          <w:rFonts w:ascii="Microsoft YaHei" w:hAnsi="Microsoft YaHei" w:cs="Microsoft YaHei" w:eastAsia="Microsoft YaHei"/>
        </w:rPr>
        <w:t>更新频率表格</w:t>
      </w:r>
      <w:r>
        <w:rPr>
          <w:rFonts w:ascii="Microsoft YaHei" w:hAnsi="Microsoft YaHei" w:cs="Microsoft YaHei" w:eastAsia="Microsoft YaHei"/>
          <w:sz w:val="24"/>
        </w:rPr>
        <w:t>，用于记录各字段的采集频率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要求填写每个字段的更新频次（如5分钟、半小时、小时、天级等）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对于时效性要求高但无法满足的字段（如用户要求5分钟，实际仅能支持小时级），将在调研后明确反馈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字段加工逻辑区分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需明确区分哪些字段在</w:t>
      </w:r>
      <w:r>
        <w:rPr>
          <w:b w:val="on"/>
          <w:sz w:val="24"/>
          <w:rFonts w:ascii="Microsoft YaHei" w:hAnsi="Microsoft YaHei" w:cs="Microsoft YaHei" w:eastAsia="Microsoft YaHei"/>
        </w:rPr>
        <w:t>采集层</w:t>
      </w:r>
      <w:r>
        <w:rPr>
          <w:rFonts w:ascii="Microsoft YaHei" w:hAnsi="Microsoft YaHei" w:cs="Microsoft YaHei" w:eastAsia="Microsoft YaHei"/>
          <w:sz w:val="24"/>
        </w:rPr>
        <w:t>获取，哪些在</w:t>
      </w:r>
      <w:r>
        <w:rPr>
          <w:b w:val="on"/>
          <w:sz w:val="24"/>
          <w:rFonts w:ascii="Microsoft YaHei" w:hAnsi="Microsoft YaHei" w:cs="Microsoft YaHei" w:eastAsia="Microsoft YaHei"/>
        </w:rPr>
        <w:t>加工层</w:t>
      </w:r>
      <w:r>
        <w:rPr>
          <w:rFonts w:ascii="Microsoft YaHei" w:hAnsi="Microsoft YaHei" w:cs="Microsoft YaHei" w:eastAsia="Microsoft YaHei"/>
          <w:sz w:val="24"/>
        </w:rPr>
        <w:t>计算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示例需加工字段：相似度、创意脚本标签等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采集尽量少频次，加工逻辑中完成动态更新</w:t>
      </w:r>
    </w:p>
    <w:p>
      <w:pPr>
        <w:pStyle w:val="Heading2"/>
        <w:outlineLvl w:val="1"/>
      </w:pPr>
      <w:r>
        <w:t>数据产出与表结构设计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产出形态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数仓最终产出一张</w:t>
      </w:r>
      <w:r>
        <w:rPr>
          <w:b w:val="on"/>
          <w:sz w:val="24"/>
          <w:rFonts w:ascii="Microsoft YaHei" w:hAnsi="Microsoft YaHei" w:cs="Microsoft YaHei" w:eastAsia="Microsoft YaHei"/>
        </w:rPr>
        <w:t>创意层级的大宽表</w:t>
      </w:r>
      <w:r>
        <w:rPr>
          <w:rFonts w:ascii="Microsoft YaHei" w:hAnsi="Microsoft YaHei" w:cs="Microsoft YaHei" w:eastAsia="Microsoft YaHei"/>
          <w:sz w:val="24"/>
        </w:rPr>
        <w:t>（最新一次的创意报表）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表中包含素材ID、视频MD5等标识，支持向下钻取至单个素材数据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最小粒度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明细层最小数据单元为</w:t>
      </w:r>
      <w:r>
        <w:rPr>
          <w:b w:val="on"/>
          <w:sz w:val="24"/>
          <w:rFonts w:ascii="Microsoft YaHei" w:hAnsi="Microsoft YaHei" w:cs="Microsoft YaHei" w:eastAsia="Microsoft YaHei"/>
        </w:rPr>
        <w:t>广告+素材维度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支持向上聚合分析，如按平台ID、版位等维度汇总消耗、播放量等指标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主键说明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当前表无主键，需后续补充</w:t>
      </w:r>
      <w:r>
        <w:rPr>
          <w:b w:val="on"/>
          <w:sz w:val="24"/>
          <w:rFonts w:ascii="Microsoft YaHei" w:hAnsi="Microsoft YaHei" w:cs="Microsoft YaHei" w:eastAsia="Microsoft YaHei"/>
        </w:rPr>
        <w:t>广告ID + 素材ID</w:t>
      </w:r>
      <w:r>
        <w:rPr>
          <w:rFonts w:ascii="Microsoft YaHei" w:hAnsi="Microsoft YaHei" w:cs="Microsoft YaHei" w:eastAsia="Microsoft YaHei"/>
          <w:sz w:val="24"/>
        </w:rPr>
        <w:t>作为联合主键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是否需要细化到小时级别待定，当前以保证数据时效性为主</w:t>
      </w:r>
    </w:p>
    <w:p>
      <w:pPr>
        <w:pStyle w:val="Heading2"/>
        <w:outlineLvl w:val="1"/>
      </w:pPr>
      <w:r>
        <w:t>权限治理与使用场景规划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权限分层需求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不同角色看到的数据不同：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部分人员只能查看视频文件、创意等非敏感维度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部分人可查看消耗、首日RI等部分指标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少数人可查看长线数据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涉及指标分组权限控制，需按字段组进行隔离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使用方式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不做独立页面，优先通过</w:t>
      </w:r>
      <w:r>
        <w:rPr>
          <w:b w:val="on"/>
          <w:sz w:val="24"/>
          <w:rFonts w:ascii="Microsoft YaHei" w:hAnsi="Microsoft YaHei" w:cs="Microsoft YaHei" w:eastAsia="Microsoft YaHei"/>
        </w:rPr>
        <w:t>Agent对话式交互</w:t>
      </w:r>
      <w:r>
        <w:rPr>
          <w:rFonts w:ascii="Microsoft YaHei" w:hAnsi="Microsoft YaHei" w:cs="Microsoft YaHei" w:eastAsia="Microsoft YaHei"/>
          <w:sz w:val="24"/>
        </w:rPr>
        <w:t>使用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可能衍生出菜单或卡片式展示，但底层均为数据接口支撑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目标系统包括：心智投（智投）、小桥之头、Agent等</w:t>
      </w:r>
    </w:p>
    <w:p>
      <w:pPr>
        <w:pStyle w:val="Heading2"/>
        <w:outlineLvl w:val="1"/>
      </w:pPr>
      <w:r>
        <w:t>MCP接口实现路径决策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技术方案对比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方案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内容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优势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风险/限制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评估</w:t>
            </w:r>
          </w:p>
        </w:tc>
      </w:tr>
      <w:tr>
        <w:tc>
          <w:tcPr>
            <w:tcW w:type="auto" w:w="0"/>
          </w:tcPr>
          <w:p>
            <w:r>
              <w:t>直接查表（绕过平台管控）</w:t>
            </w:r>
          </w:p>
        </w:tc>
        <w:tc>
          <w:tcPr>
            <w:tcW w:type="auto" w:w="0"/>
          </w:tcPr>
          <w:p>
            <w:r>
              <w:t>Agent直连派门数据库查表</w:t>
            </w:r>
          </w:p>
        </w:tc>
        <w:tc>
          <w:tcPr>
            <w:tcW w:type="auto" w:w="0"/>
          </w:tcPr>
          <w:p>
            <w:r>
              <w:t>快速上线，无需开发接口</w:t>
            </w:r>
          </w:p>
        </w:tc>
        <w:tc>
          <w:tcPr>
            <w:tcW w:type="auto" w:w="0"/>
          </w:tcPr>
          <w:p>
            <w:r>
              <w:t>绕过平台权限体系，存在安全风险</w:t>
            </w:r>
          </w:p>
        </w:tc>
        <w:tc>
          <w:tcPr>
            <w:tcW w:type="auto" w:w="0"/>
          </w:tcPr>
          <w:p>
            <w:r>
              <w:t>不可行</w:t>
            </w:r>
          </w:p>
        </w:tc>
      </w:tr>
      <w:tr>
        <w:tc>
          <w:tcPr>
            <w:tcW w:type="auto" w:w="0"/>
          </w:tcPr>
          <w:p>
            <w:r>
              <w:t>平台查询窗口 + API转SQL</w:t>
            </w:r>
          </w:p>
        </w:tc>
        <w:tc>
          <w:tcPr>
            <w:tcW w:type="auto" w:w="0"/>
          </w:tcPr>
          <w:p>
            <w:r>
              <w:t>利用平台现有查询窗口能力，将自然语言转为SQL执行</w:t>
            </w:r>
          </w:p>
        </w:tc>
        <w:tc>
          <w:tcPr>
            <w:tcW w:type="auto" w:w="0"/>
          </w:tcPr>
          <w:p>
            <w:r>
              <w:t>已有基础设施支持，路径最短</w:t>
            </w:r>
          </w:p>
        </w:tc>
        <w:tc>
          <w:tcPr>
            <w:tcW w:type="auto" w:w="0"/>
          </w:tcPr>
          <w:p>
            <w:r>
              <w:t>需确保Agent能正确生成SQL</w:t>
            </w:r>
          </w:p>
        </w:tc>
        <w:tc>
          <w:tcPr>
            <w:tcW w:type="auto" w:w="0"/>
          </w:tcPr>
          <w:p>
            <w:r>
              <w:t>采纳</w:t>
            </w:r>
          </w:p>
        </w:tc>
      </w:tr>
      <w:tr>
        <w:tc>
          <w:tcPr>
            <w:tcW w:type="auto" w:w="0"/>
          </w:tcPr>
          <w:p>
            <w:r>
              <w:t>多维发布聚合表</w:t>
            </w:r>
          </w:p>
        </w:tc>
        <w:tc>
          <w:tcPr>
            <w:tcW w:type="auto" w:w="0"/>
          </w:tcPr>
          <w:p>
            <w:r>
              <w:t>将数据推至多维，利用其聚合能力对外服务</w:t>
            </w:r>
          </w:p>
        </w:tc>
        <w:tc>
          <w:tcPr>
            <w:tcW w:type="auto" w:w="0"/>
          </w:tcPr>
          <w:p>
            <w:r>
              <w:t>支持复杂分析，符合中台架构</w:t>
            </w:r>
          </w:p>
        </w:tc>
        <w:tc>
          <w:tcPr>
            <w:tcW w:type="auto" w:w="0"/>
          </w:tcPr>
          <w:p>
            <w:r>
              <w:t>多维当前不支持拖快门，需排期开发，周期长</w:t>
            </w:r>
          </w:p>
        </w:tc>
        <w:tc>
          <w:tcPr>
            <w:tcW w:type="auto" w:w="0"/>
          </w:tcPr>
          <w:p>
            <w:r>
              <w:t>待二期考虑</w:t>
            </w:r>
          </w:p>
        </w:tc>
      </w:tr>
      <w:tr>
        <w:tc>
          <w:tcPr>
            <w:tcW w:type="auto" w:w="0"/>
          </w:tcPr>
          <w:p>
            <w:r>
              <w:t>自研低代码报表工具</w:t>
            </w:r>
          </w:p>
        </w:tc>
        <w:tc>
          <w:tcPr>
            <w:tcW w:type="auto" w:w="0"/>
          </w:tcPr>
          <w:p>
            <w:r>
              <w:t>在智投内部开发类似多维的聚合分析功能</w:t>
            </w:r>
          </w:p>
        </w:tc>
        <w:tc>
          <w:tcPr>
            <w:tcW w:type="auto" w:w="0"/>
          </w:tcPr>
          <w:p>
            <w:r>
              <w:t>完全自主可控</w:t>
            </w:r>
          </w:p>
        </w:tc>
        <w:tc>
          <w:tcPr>
            <w:tcW w:type="auto" w:w="0"/>
          </w:tcPr>
          <w:p>
            <w:r>
              <w:t>开发成本高，且未来可能重复建设</w:t>
            </w:r>
          </w:p>
        </w:tc>
        <w:tc>
          <w:tcPr>
            <w:tcW w:type="auto" w:w="0"/>
          </w:tcPr>
          <w:p>
            <w:r>
              <w:t>不采用</w:t>
            </w:r>
          </w:p>
        </w:tc>
      </w:tr>
    </w:tbl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最终决策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采用“平台查询窗口 + 动态SQL”路径，由洪经理团队开发通用MCP工具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该工具接收自然语言请求，转化为SQL，在平台查询引擎中执行并返回结果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所有数仓对外MCP统一走此通道，形成标准化服务能力</w:t>
      </w:r>
    </w:p>
    <w:p>
      <w:pPr>
        <w:pStyle w:val="Heading2"/>
        <w:outlineLvl w:val="1"/>
      </w:pPr>
      <w:r>
        <w:t>MCP性能与大数据量处理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当前限制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MCP默认返回上限为</w:t>
      </w:r>
      <w:r>
        <w:rPr>
          <w:b w:val="on"/>
          <w:sz w:val="24"/>
          <w:rFonts w:ascii="Microsoft YaHei" w:hAnsi="Microsoft YaHei" w:cs="Microsoft YaHei" w:eastAsia="Microsoft YaHei"/>
        </w:rPr>
        <w:t>100条</w:t>
      </w:r>
      <w:r>
        <w:rPr>
          <w:rFonts w:ascii="Microsoft YaHei" w:hAnsi="Microsoft YaHei" w:cs="Microsoft YaHei" w:eastAsia="Microsoft YaHei"/>
          <w:sz w:val="24"/>
        </w:rPr>
        <w:t>，不适用于明细数据返回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单个项目素材可能达上千条，超出限制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应对策略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第一期先按100条限制处理，满足Top类查询需求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第二期研究分片机制：大模型判断数据量大时，自动分批返回（如本地生成文件分三次下发）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分片逻辑由Agent在多轮对话中完成，减轻上下文压力</w:t>
      </w:r>
    </w:p>
    <w:p>
      <w:pPr>
        <w:pStyle w:val="Heading2"/>
        <w:outlineLvl w:val="1"/>
      </w:pPr>
      <w:r>
        <w:t>归因数据整合方案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现状问题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当前数仓仅有营销域数据，缺少事件域、归因域数据（如注册、付费）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若无归因数据，指标价值缺失约60%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数据源构成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三部分数据需整合</w:t>
      </w:r>
      <w:r>
        <w:rPr>
          <w:rFonts w:ascii="Microsoft YaHei" w:hAnsi="Microsoft YaHei" w:cs="Microsoft YaHei" w:eastAsia="Microsoft YaHei"/>
          <w:sz w:val="24"/>
        </w:rPr>
        <w:t xml:space="preserve">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派门（新数仓）营销域数据（当前已有）</w:t>
      </w:r>
    </w:p>
    <w:p>
      <w:pPr>
        <w:numPr>
          <w:ilvl w:val="2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SR老数仓归因数据（国内归因结果）</w:t>
      </w:r>
    </w:p>
    <w:p>
      <w:pPr>
        <w:numPr>
          <w:ilvl w:val="2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海外归因数据（来自张跳系统）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派门（新数仓）营销域数据（当前已有）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SR老数仓归因数据（国内归因结果）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海外归因数据（来自张跳系统）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整合方式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利用平台跨源查询能力，在一个SQL中关联三者数据源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提前编写复杂SQL完成多表拼接，封装为一张“大而全”的虚拟宽表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后续MCP直接查询该虚拟表，无需物理搬迁数据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关联键为</w:t>
      </w:r>
      <w:r>
        <w:rPr>
          <w:b w:val="on"/>
          <w:sz w:val="24"/>
          <w:rFonts w:ascii="Microsoft YaHei" w:hAnsi="Microsoft YaHei" w:cs="Microsoft YaHei" w:eastAsia="Microsoft YaHei"/>
        </w:rPr>
        <w:t>创意ID</w:t>
      </w:r>
      <w:r>
        <w:rPr>
          <w:rFonts w:ascii="Microsoft YaHei" w:hAnsi="Microsoft YaHei" w:cs="Microsoft YaHei" w:eastAsia="Microsoft YaHei"/>
          <w:sz w:val="24"/>
        </w:rPr>
        <w:t>或</w:t>
      </w:r>
      <w:r>
        <w:rPr>
          <w:b w:val="on"/>
          <w:sz w:val="24"/>
          <w:rFonts w:ascii="Microsoft YaHei" w:hAnsi="Microsoft YaHei" w:cs="Microsoft YaHei" w:eastAsia="Microsoft YaHei"/>
        </w:rPr>
        <w:t>创意名称</w:t>
      </w:r>
    </w:p>
    <w:p>
      <w:pPr>
        <w:pStyle w:val="Heading2"/>
        <w:outlineLvl w:val="1"/>
      </w:pPr>
      <w:r>
        <w:t>历史数据处理策略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基本原则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新项目不涉及历史数据，简化初期实施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历史数据刷数需谨慎，避免轻易刷新导致匹配问题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上线时统一刷数，确保一致性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具体安排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MA港澳台</w:t>
      </w:r>
      <w:r>
        <w:rPr>
          <w:rFonts w:ascii="Microsoft YaHei" w:hAnsi="Microsoft YaHei" w:cs="Microsoft YaHei" w:eastAsia="Microsoft YaHei"/>
          <w:sz w:val="24"/>
        </w:rPr>
        <w:t>作为首个历史数据刷数试点项目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刷数范围：从</w:t>
      </w:r>
      <w:r>
        <w:rPr>
          <w:b w:val="on"/>
          <w:sz w:val="24"/>
          <w:rFonts w:ascii="Microsoft YaHei" w:hAnsi="Microsoft YaHei" w:cs="Microsoft YaHei" w:eastAsia="Microsoft YaHei"/>
        </w:rPr>
        <w:t>5月1日</w:t>
      </w:r>
      <w:r>
        <w:rPr>
          <w:rFonts w:ascii="Microsoft YaHei" w:hAnsi="Microsoft YaHei" w:cs="Microsoft YaHei" w:eastAsia="Microsoft YaHei"/>
          <w:sz w:val="24"/>
        </w:rPr>
        <w:t>起的数据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其他项目若后续需补历史数据，将全部重新准备，不增量更新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填写并确认各字段更新频率表格</w:t>
            </w:r>
          </w:p>
        </w:tc>
        <w:tc>
          <w:tcPr>
            <w:tcW w:type="auto" w:w="0"/>
          </w:tcPr>
          <w:p>
            <w:r>
              <w:t>相关方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调研字段更新能力并与产品反馈</w:t>
            </w:r>
          </w:p>
        </w:tc>
        <w:tc>
          <w:tcPr>
            <w:tcW w:type="auto" w:w="0"/>
          </w:tcPr>
          <w:p>
            <w:r>
              <w:t>张云杰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提供两大数据源信息（SR归因、海外归因）</w:t>
            </w:r>
          </w:p>
        </w:tc>
        <w:tc>
          <w:tcPr>
            <w:tcW w:type="auto" w:w="0"/>
          </w:tcPr>
          <w:p>
            <w:r>
              <w:t>文南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开发通用MCP工具（自然语言转SQL）</w:t>
            </w:r>
          </w:p>
        </w:tc>
        <w:tc>
          <w:tcPr>
            <w:tcW w:type="auto" w:w="0"/>
          </w:tcPr>
          <w:p>
            <w:r>
              <w:t>洪经理团队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编写跨源查询SQL，整合三大数据源</w:t>
            </w:r>
          </w:p>
        </w:tc>
        <w:tc>
          <w:tcPr>
            <w:tcW w:type="auto" w:w="0"/>
          </w:tcPr>
          <w:p>
            <w:r>
              <w:t>技术侧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输出MCP接口使用手册</w:t>
            </w:r>
          </w:p>
        </w:tc>
        <w:tc>
          <w:tcPr>
            <w:tcW w:type="auto" w:w="0"/>
          </w:tcPr>
          <w:p>
            <w:r>
              <w:t>相关方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</w:tbl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识别需重新计算的字段（如相似度、创意脚本）并在加工逻辑中更新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处理MA港澳台等海外项目的歷史數據刷數需求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补全五月一号以来相关项目的歷史數據範圍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协调拼接营销域、归因域及海外数据源形成统一查询视图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整理并提交MCP所需SQL模板及接口参数描述文档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确定MCP接口实现方案并推动洪经理团队开发通用查询能力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明确数仓产出的大宽表交付方式并与agent对接调用方案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填写数据更新频率表格并通知发言人跟进调研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提供六大媒体范围及选定游戏项目的数据源信息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确认并提交广告加素材报表、素材维度表和广告维度表的最新数据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00:00:00 </w:t>
      </w:r>
      <w:r>
        <w:rPr>
          <w:b w:val="on"/>
          <w:sz w:val="24"/>
          <w:rFonts w:ascii="Microsoft YaHei" w:hAnsi="Microsoft YaHei" w:cs="Microsoft YaHei" w:eastAsia="Microsoft YaHei"/>
        </w:rPr>
        <w:t>数据更新频率与字段采集规划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初期讨论了各字段的数据更新频率，明确将通过表格形式统一记录，并确定了素材集、广告资产等核心数据表的采集范围。强调需在正式报表中补充所需字段，若某些字段无法获取，将在后续反馈给产品端进行评估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00:01:24 </w:t>
      </w:r>
      <w:r>
        <w:rPr>
          <w:b w:val="on"/>
          <w:sz w:val="24"/>
          <w:rFonts w:ascii="Microsoft YaHei" w:hAnsi="Microsoft YaHei" w:cs="Microsoft YaHei" w:eastAsia="Microsoft YaHei"/>
        </w:rPr>
        <w:t>项目数据范围与新游戏投放计划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了本次数据调研涉及的六大媒体（国内三个、国外三个），并选定多个新上线或即将上线的游戏作为数据样本，包括西游奇幻冒险、10打工团、月相等，均为2024年新投项目，避免历史数据干扰。确认五月份起开始采集相关数据，六月份为主要投放周期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00:04:27 </w:t>
      </w:r>
      <w:r>
        <w:rPr>
          <w:b w:val="on"/>
          <w:sz w:val="24"/>
          <w:rFonts w:ascii="Microsoft YaHei" w:hAnsi="Microsoft YaHei" w:cs="Microsoft YaHei" w:eastAsia="Microsoft YaHei"/>
        </w:rPr>
        <w:t>数仓产出结构与创意报表设计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了数据仓库的最终产出形式，确定以“广告+素材”维度的明细宽表为核心输出，支持向上聚合至创意层级。强调该表需包含最小颗粒度的数据，以便用户可下钻查看具体素材表现，并能按不同维度（如平台、版位）进行灵活聚合分析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00:07:20 </w:t>
      </w:r>
      <w:r>
        <w:rPr>
          <w:b w:val="on"/>
          <w:sz w:val="24"/>
          <w:rFonts w:ascii="Microsoft YaHei" w:hAnsi="Microsoft YaHei" w:cs="Microsoft YaHei" w:eastAsia="Microsoft YaHei"/>
        </w:rPr>
        <w:t>数据交付方式与MCP接口可行性探讨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探讨了数据交付的技术路径，提出使用MCP（Model Calling Platform）作为调用接口的可能性，但指出其当前限制为100条返回结果，不适合大量明细数据传输。考虑采用分批文件传输或动态SQL生成机制来解决上下文过载问题，确保大模型能有效处理完整数据集。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00:09:42 </w:t>
      </w:r>
      <w:r>
        <w:rPr>
          <w:b w:val="on"/>
          <w:sz w:val="24"/>
          <w:rFonts w:ascii="Microsoft YaHei" w:hAnsi="Microsoft YaHei" w:cs="Microsoft YaHei" w:eastAsia="Microsoft YaHei"/>
        </w:rPr>
        <w:t>权限控制与数据拆分策略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针对不同角色的访问需求，讨论了数据权限治理方案。建议将数据拆分为“无指标维度表”和“含指标事实表”，实现基于角色的权限隔离。例如，部分用户仅查看素材信息而不接触消耗数据，权限逻辑应在上层应用而非数仓侧实现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00:11:08 </w:t>
      </w:r>
      <w:r>
        <w:rPr>
          <w:b w:val="on"/>
          <w:sz w:val="24"/>
          <w:rFonts w:ascii="Microsoft YaHei" w:hAnsi="Microsoft YaHei" w:cs="Microsoft YaHei" w:eastAsia="Microsoft YaHei"/>
        </w:rPr>
        <w:t>系统对接与多源数据整合路径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了数据将通过Agent在对话式场景中使用，不单独开发页面，而是提供数据接口。讨论了平台查询窗口、API转Circle等多种技术路径，最终倾向于利用现有平台能力直接查表，绕过多维平台排期瓶颈，提升交付效率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00:14:56 </w:t>
      </w:r>
      <w:r>
        <w:rPr>
          <w:b w:val="on"/>
          <w:sz w:val="24"/>
          <w:rFonts w:ascii="Microsoft YaHei" w:hAnsi="Microsoft YaHei" w:cs="Microsoft YaHei" w:eastAsia="Microsoft YaHei"/>
        </w:rPr>
        <w:t>聚合分析能力与通用查询机制建设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深入讨论了用户对任意维度和指标聚合的需求，指出无法通过模板穷举所有组合。建议构建通用化查询引擎，在MCP中预设动态SQL模板与计算规则（如求和、比率等），由大模型解析自然语言生成对应查询逻辑，实现灵活分析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00:22:59 </w:t>
      </w:r>
      <w:r>
        <w:rPr>
          <w:b w:val="on"/>
          <w:sz w:val="24"/>
          <w:rFonts w:ascii="Microsoft YaHei" w:hAnsi="Microsoft YaHei" w:cs="Microsoft YaHei" w:eastAsia="Microsoft YaHei"/>
        </w:rPr>
        <w:t>跨系统数据融合与归因指标接入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识别到当前数据缺失归因类指标（如注册、付费），需整合老数仓SR、魔方S2及派门三方数据源。提出通过平台跨库查询能力，在Circle中拼接多源数据形成统一视图，优先打通国内归因链路，并逐步覆盖海外项目（如M叉三、MA港澳台）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00:38:45 </w:t>
      </w:r>
      <w:r>
        <w:rPr>
          <w:b w:val="on"/>
          <w:sz w:val="24"/>
          <w:rFonts w:ascii="Microsoft YaHei" w:hAnsi="Microsoft YaHei" w:cs="Microsoft YaHei" w:eastAsia="Microsoft YaHei"/>
        </w:rPr>
        <w:t>历史数据处理与采集补全策略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针对历史数据是否纳入的问题，决定暂不处理复杂历史包袱，聚焦新项目数据。对于已有投放项目（如MA港澳台），先产出当前数据供验证，再统一回刷历史数据。同时指出部分历史素材因链接过期难以补采，建议以可获取数据为准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00:47:36 </w:t>
      </w:r>
      <w:r>
        <w:rPr>
          <w:b w:val="on"/>
          <w:sz w:val="24"/>
          <w:rFonts w:ascii="Microsoft YaHei" w:hAnsi="Microsoft YaHei" w:cs="Microsoft YaHei" w:eastAsia="Microsoft YaHei"/>
        </w:rPr>
        <w:t>任务分工与后续执行安排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了后续关键任务：填写更新频率表、确认两个主要数据源、提交加工逻辑变更报告。同时提及人事需求归属问题，确认由广告团队主导推进。最后强调需尽快完成数据准备、接口定义与测试协作，保障项目按时交付。</w:t>
      </w:r>
    </w:p>
  </w:body>
</w:document>
</file>

<file path=word/numbering.xml><?xml version="1.0" encoding="utf-8"?>
<w:numbering xmlns:w="http://schemas.openxmlformats.org/wordprocessingml/2006/main">
  <w:abstractNum w:abstractNumId="84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84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84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84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84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85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85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85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85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85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845"/>
  </w:num>
  <w:num w:numId="2">
    <w:abstractNumId w:val="846"/>
  </w:num>
  <w:num w:numId="3">
    <w:abstractNumId w:val="847"/>
  </w:num>
  <w:num w:numId="4">
    <w:abstractNumId w:val="848"/>
  </w:num>
  <w:num w:numId="5">
    <w:abstractNumId w:val="849"/>
  </w:num>
  <w:num w:numId="6">
    <w:abstractNumId w:val="850"/>
  </w:num>
  <w:num w:numId="7">
    <w:abstractNumId w:val="851"/>
  </w:num>
  <w:num w:numId="8">
    <w:abstractNumId w:val="852"/>
  </w:num>
  <w:num w:numId="9">
    <w:abstractNumId w:val="853"/>
  </w:num>
  <w:num w:numId="10">
    <w:abstractNumId w:val="8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2026-06-05T05:15:30Z</dcterms:created>
  <dc:creator>Apache POI</dc:creator>
</cp:coreProperties>
</file>