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280"/>
        <w:jc w:val="left"/>
      </w:pPr>
      <w:r>
        <w:rPr>
          <w:rFonts w:ascii="Noto Sans CJK SC" w:hAnsi="Noto Sans CJK SC" w:eastAsia="Noto Sans CJK SC"/>
          <w:b/>
          <w:color w:val="163B5C"/>
          <w:sz w:val="56"/>
        </w:rPr>
        <w:t>企业级 Chat 会话区视觉层</w:t>
      </w:r>
      <w:r>
        <w:br/>
      </w:r>
      <w:r>
        <w:rPr>
          <w:rFonts w:ascii="Noto Sans CJK SC" w:hAnsi="Noto Sans CJK SC" w:eastAsia="Noto Sans CJK SC"/>
          <w:b/>
          <w:color w:val="163B5C"/>
          <w:sz w:val="56"/>
        </w:rPr>
        <w:t>生产级优化方案</w:t>
      </w:r>
    </w:p>
    <w:p>
      <w:pPr>
        <w:spacing w:after="560"/>
      </w:pPr>
      <w:r>
        <w:rPr>
          <w:rFonts w:ascii="Noto Sans CJK SC" w:hAnsi="Noto Sans CJK SC" w:eastAsia="Noto Sans CJK SC"/>
          <w:b w:val="0"/>
          <w:color w:val="6B7280"/>
          <w:sz w:val="24"/>
        </w:rPr>
        <w:t>Chat Presentation Visual Refinement · Design &amp; Engineering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8928"/>
      </w:tblGrid>
      <w:tr>
        <w:trPr>
          <w:cantSplit/>
        </w:trPr>
        <w:tc>
          <w:tcPr>
            <w:tcW w:type="dxa" w:w="5100"/>
            <w:shd w:fill="3B82F6"/>
            <w:tcBorders>
              <w:top w:val="single" w:sz="4" w:color="EFF6FF"/>
              <w:left w:val="single" w:sz="4" w:color="EFF6FF"/>
              <w:bottom w:val="single" w:sz="4" w:color="EFF6FF"/>
              <w:right w:val="single" w:sz="4" w:color="EFF6FF"/>
            </w:tcBorders>
          </w:tcPr>
          <w:p/>
        </w:tc>
        <w:tc>
          <w:tcPr>
            <w:tcW w:type="dxa" w:w="5100"/>
            <w:shd w:fill="EFF6FF"/>
            <w:tcBorders>
              <w:top w:val="single" w:sz="4" w:color="EFF6FF"/>
              <w:left w:val="single" w:sz="4" w:color="EFF6FF"/>
              <w:bottom w:val="single" w:sz="4" w:color="EFF6FF"/>
              <w:right w:val="single" w:sz="4" w:color="EFF6FF"/>
            </w:tcBorders>
          </w:tcPr>
          <w:p>
            <w:pPr>
              <w:spacing w:before="80" w:after="80" w:line="276" w:lineRule="auto"/>
            </w:pPr>
            <w:r>
              <w:rPr>
                <w:rFonts w:ascii="Noto Sans CJK SC" w:hAnsi="Noto Sans CJK SC" w:eastAsia="Noto Sans CJK SC"/>
                <w:b/>
                <w:color w:val="111827"/>
                <w:sz w:val="21"/>
              </w:rPr>
              <w:t>文档定位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本方案只处理 Chat 会话区视觉表现层：信息层级、组件质感、交互细节、视觉 token 收口。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不改 Runtime、不改 Entity Resolution、不改 Tool Calling、不新增渲染主链。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7632"/>
      </w:tblGrid>
      <w:tr>
        <w:trPr>
          <w:tblHeader w:val="true"/>
          <w:cantSplit/>
        </w:trPr>
        <w:tc>
          <w:tcPr>
            <w:tcW w:type="dxa" w:w="5100"/>
            <w:shd w:fill="163B5C"/>
            <w:tcBorders>
              <w:top w:val="single" w:sz="4" w:color="163B5C"/>
              <w:left w:val="single" w:sz="4" w:color="163B5C"/>
              <w:bottom w:val="single" w:sz="4" w:color="163B5C"/>
              <w:right w:val="single" w:sz="4" w:color="163B5C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100"/>
            <w:shd w:fill="163B5C"/>
            <w:tcBorders>
              <w:top w:val="single" w:sz="4" w:color="163B5C"/>
              <w:left w:val="single" w:sz="4" w:color="163B5C"/>
              <w:bottom w:val="single" w:sz="4" w:color="163B5C"/>
              <w:right w:val="single" w:sz="4" w:color="163B5C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文档版本</w:t>
            </w:r>
          </w:p>
        </w:tc>
        <w:tc>
          <w:tcPr>
            <w:tcW w:type="dxa" w:w="76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201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生成日期</w:t>
            </w:r>
          </w:p>
        </w:tc>
        <w:tc>
          <w:tcPr>
            <w:tcW w:type="dxa" w:w="7632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2026-06-01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适用对象</w:t>
            </w:r>
          </w:p>
        </w:tc>
        <w:tc>
          <w:tcPr>
            <w:tcW w:type="dxa" w:w="76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企业级 Chat / AI 广告系统 / 通用 MCP 接入型会话工作台</w:t>
            </w:r>
          </w:p>
        </w:tc>
      </w:tr>
      <w:tr>
        <w:trPr>
          <w:cantSplit/>
        </w:trPr>
        <w:tc>
          <w:tcPr>
            <w:tcW w:type="dxa" w:w="201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主链路</w:t>
            </w:r>
          </w:p>
        </w:tc>
        <w:tc>
          <w:tcPr>
            <w:tcW w:type="dxa" w:w="7632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MessageContract → SemanticResultContract → regions[] → componentBinding → registry → MessagePresentationRenderer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优化范围</w:t>
            </w:r>
          </w:p>
        </w:tc>
        <w:tc>
          <w:tcPr>
            <w:tcW w:type="dxa" w:w="76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普通回答、报表查询成功、分析洞察、执行任务结果、过程与依据面板</w:t>
            </w:r>
          </w:p>
        </w:tc>
      </w:tr>
      <w:tr>
        <w:trPr>
          <w:cantSplit/>
        </w:trPr>
        <w:tc>
          <w:tcPr>
            <w:tcW w:type="dxa" w:w="201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硬性原则</w:t>
            </w:r>
          </w:p>
        </w:tc>
        <w:tc>
          <w:tcPr>
            <w:tcW w:type="dxa" w:w="7632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禁止硬编码、禁止旧样式兼容分支、禁止新增第二套 renderer、禁止 UI 层兜底工具链问题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Noto Sans CJK SC" w:hAnsi="Noto Sans CJK SC" w:eastAsia="Noto Sans CJK SC"/>
          <w:b/>
          <w:color w:val="163B5C"/>
          <w:sz w:val="34"/>
        </w:rPr>
        <w:t>目录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1. 任务定位与硬性边界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2. 视觉优化目标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3. 主会话区视觉收口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4. 四类正常链路视觉模板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5. 右侧“过程与依据”面板视觉优化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6. 视觉 Token 收口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7. 组件视觉规范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8. 动效与响应式规范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9. 不可做事项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10. 实施顺序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11. 验收标准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12. Codex 最终执行指令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Noto Sans CJK SC" w:hAnsi="Noto Sans CJK SC" w:eastAsia="Noto Sans CJK SC"/>
          <w:b/>
          <w:color w:val="163B5C"/>
          <w:sz w:val="34"/>
        </w:rPr>
        <w:t>1. 任务定位与硬性边界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本次任务不是 Chat 架构重构，而是对现有渲染主链做生产级视觉系统收口。当前目标是让已有结构化结果在会话工作台中呈现得更加专业、清晰、可信、可操作。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vAlign w:val="center"/>
          </w:tcPr>
          <w:p>
            <w:pPr>
              <w:spacing w:before="80" w:after="80" w:line="240" w:lineRule="auto"/>
              <w:ind w:left="120" w:right="120"/>
            </w:pPr>
            <w:r>
              <w:rPr>
                <w:rFonts w:ascii="Courier New" w:hAnsi="Courier New" w:eastAsia="Courier New"/>
                <w:color w:val="374151"/>
                <w:sz w:val="18"/>
              </w:rPr>
              <w:t>MessageContract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→ SemanticResultContract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→ regions[]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→ componentBinding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→ registry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→ MessagePresentationRenderer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→ React UI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8928"/>
      </w:tblGrid>
      <w:tr>
        <w:trPr>
          <w:cantSplit/>
        </w:trPr>
        <w:tc>
          <w:tcPr>
            <w:tcW w:type="dxa" w:w="5100"/>
            <w:shd w:fill="F59E0B"/>
            <w:tcBorders>
              <w:top w:val="single" w:sz="4" w:color="FFFBEB"/>
              <w:left w:val="single" w:sz="4" w:color="FFFBEB"/>
              <w:bottom w:val="single" w:sz="4" w:color="FFFBEB"/>
              <w:right w:val="single" w:sz="4" w:color="FFFBEB"/>
            </w:tcBorders>
          </w:tcPr>
          <w:p/>
        </w:tc>
        <w:tc>
          <w:tcPr>
            <w:tcW w:type="dxa" w:w="5100"/>
            <w:shd w:fill="FFFBEB"/>
            <w:tcBorders>
              <w:top w:val="single" w:sz="4" w:color="FFFBEB"/>
              <w:left w:val="single" w:sz="4" w:color="FFFBEB"/>
              <w:bottom w:val="single" w:sz="4" w:color="FFFBEB"/>
              <w:right w:val="single" w:sz="4" w:color="FFFBEB"/>
            </w:tcBorders>
          </w:tcPr>
          <w:p>
            <w:pPr>
              <w:spacing w:before="80" w:after="80" w:line="276" w:lineRule="auto"/>
            </w:pPr>
            <w:r>
              <w:rPr>
                <w:rFonts w:ascii="Noto Sans CJK SC" w:hAnsi="Noto Sans CJK SC" w:eastAsia="Noto Sans CJK SC"/>
                <w:b/>
                <w:color w:val="111827"/>
                <w:sz w:val="21"/>
              </w:rPr>
              <w:t>核心边界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UIUX 层负责“完成后的结果如何企业级表达”。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Runtime / Tool Chain 负责“能不能正确完成任务”。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禁止用 UI 层兜底实体解析、MCP 调用、缺字段、工具结果注入等链路问题。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1.1 本次允许优化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用户消息与 AI 消息的视觉层级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普通回答、报表结果、分析洞察、任务结果的正常链路模板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右侧“过程与依据”面板的信息层级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视觉 token、卡片基座、按钮、状态、表格、指标卡、折叠区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桌面、平板、移动端响应式体验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1.2 本次禁止修改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Runtime、Entity Resolution、Tool Calling、Tool Output Adapter、Slot Filling、PlannerInput 注入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MCP 调用链路和工具选择逻辑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新增第二套 renderer、第二套 message service 或 legacy UI 分支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根据 message.content.includes(...) 做样式判断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根据 MCP 工具名、广告业务字段、报表名称写死视觉逻辑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1.3 统一主链约束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所有已有消息服务输出必须继续进入现有主链。不要新增旁路，不要遗漏旧服务，不要在消息流组件中直接 import 特定业务组件。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rPr>
          <w:tblHeader w:val="true"/>
          <w:cantSplit/>
        </w:trPr>
        <w:tc>
          <w:tcPr>
            <w:tcW w:type="dxa" w:w="51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输出来源</w:t>
            </w:r>
          </w:p>
        </w:tc>
        <w:tc>
          <w:tcPr>
            <w:tcW w:type="dxa" w:w="51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普通 LLM 回答</w:t>
            </w:r>
          </w:p>
        </w:tc>
        <w:tc>
          <w:tcPr>
            <w:tcW w:type="dxa" w:w="705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进入 MessageContract / SemanticResultContract，使用 markdown-result 或结构化 region 渲染</w:t>
            </w:r>
          </w:p>
        </w:tc>
      </w:tr>
      <w:tr>
        <w:trPr>
          <w:cantSplit/>
        </w:trPr>
        <w:tc>
          <w:tcPr>
            <w:tcW w:type="dxa" w:w="2592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报表查询成功</w:t>
            </w:r>
          </w:p>
        </w:tc>
        <w:tc>
          <w:tcPr>
            <w:tcW w:type="dxa" w:w="705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进入 report.* regions，通过 data-visualization / table / metric registry 组件渲染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分析洞察</w:t>
            </w:r>
          </w:p>
        </w:tc>
        <w:tc>
          <w:tcPr>
            <w:tcW w:type="dxa" w:w="705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进入 analysis.* regions，结构化展示结论、证据、假设、风险、建议</w:t>
            </w:r>
          </w:p>
        </w:tc>
      </w:tr>
      <w:tr>
        <w:trPr>
          <w:cantSplit/>
        </w:trPr>
        <w:tc>
          <w:tcPr>
            <w:tcW w:type="dxa" w:w="2592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任务执行结果</w:t>
            </w:r>
          </w:p>
        </w:tc>
        <w:tc>
          <w:tcPr>
            <w:tcW w:type="dxa" w:w="705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进入 task.* regions，展示状态、产物、影响范围和后续动作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过程与依据入口</w:t>
            </w:r>
          </w:p>
        </w:tc>
        <w:tc>
          <w:tcPr>
            <w:tcW w:type="dxa" w:w="705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进入 disclosure.entry 或右侧面板统一入口，不在主消息区展示 raw payload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Noto Sans CJK SC" w:hAnsi="Noto Sans CJK SC" w:eastAsia="Noto Sans CJK SC"/>
          <w:b/>
          <w:color w:val="163B5C"/>
          <w:sz w:val="34"/>
        </w:rPr>
        <w:t>2. 视觉优化目标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最终效果应从“原始组件拼接”升级为企业级 Chat 工作台：结果优先、信息层级清晰、依据可信、操作自然、数据展示专业。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3312"/>
        <w:gridCol w:w="4752"/>
      </w:tblGrid>
      <w:tr>
        <w:trPr>
          <w:tblHeader w:val="true"/>
          <w:cantSplit/>
        </w:trPr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表现方式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专业</w:t>
            </w:r>
          </w:p>
        </w:tc>
        <w:tc>
          <w:tcPr>
            <w:tcW w:type="dxa" w:w="331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适合企业内部生产环境长期使用</w:t>
            </w:r>
          </w:p>
        </w:tc>
        <w:tc>
          <w:tcPr>
            <w:tcW w:type="dxa" w:w="47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克制配色、清晰层级、高密度数据区、稳定组件风格</w:t>
            </w:r>
          </w:p>
        </w:tc>
      </w:tr>
      <w:tr>
        <w:trPr>
          <w:cantSplit/>
        </w:trPr>
        <w:tc>
          <w:tcPr>
            <w:tcW w:type="dxa" w:w="158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可信</w:t>
            </w:r>
          </w:p>
        </w:tc>
        <w:tc>
          <w:tcPr>
            <w:tcW w:type="dxa" w:w="3312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用户知道结果来自哪里、过程是否可靠</w:t>
            </w:r>
          </w:p>
        </w:tc>
        <w:tc>
          <w:tcPr>
            <w:tcW w:type="dxa" w:w="4752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右侧过程与依据面板，口径说明，数据质量提示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结果优先</w:t>
            </w:r>
          </w:p>
        </w:tc>
        <w:tc>
          <w:tcPr>
            <w:tcW w:type="dxa" w:w="331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第一眼看到结论和关键数据</w:t>
            </w:r>
          </w:p>
        </w:tc>
        <w:tc>
          <w:tcPr>
            <w:tcW w:type="dxa" w:w="47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AI 消息结果化，报表结构化，分析 memo 化</w:t>
            </w:r>
          </w:p>
        </w:tc>
      </w:tr>
      <w:tr>
        <w:trPr>
          <w:cantSplit/>
        </w:trPr>
        <w:tc>
          <w:tcPr>
            <w:tcW w:type="dxa" w:w="158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可扩展</w:t>
            </w:r>
          </w:p>
        </w:tc>
        <w:tc>
          <w:tcPr>
            <w:tcW w:type="dxa" w:w="3312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未来接入任意 MCP 或 Agent 不改主 UI</w:t>
            </w:r>
          </w:p>
        </w:tc>
        <w:tc>
          <w:tcPr>
            <w:tcW w:type="dxa" w:w="4752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regions / componentBinding / registry 驱动渲染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可治理</w:t>
            </w:r>
          </w:p>
        </w:tc>
        <w:tc>
          <w:tcPr>
            <w:tcW w:type="dxa" w:w="331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样式不散落，后续维护成本可控</w:t>
            </w:r>
          </w:p>
        </w:tc>
        <w:tc>
          <w:tcPr>
            <w:tcW w:type="dxa" w:w="47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全部收敛到视觉 token 和统一组件基座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8928"/>
      </w:tblGrid>
      <w:tr>
        <w:trPr>
          <w:cantSplit/>
        </w:trPr>
        <w:tc>
          <w:tcPr>
            <w:tcW w:type="dxa" w:w="5100"/>
            <w:shd w:fill="3B82F6"/>
            <w:tcBorders>
              <w:top w:val="single" w:sz="4" w:color="EFF6FF"/>
              <w:left w:val="single" w:sz="4" w:color="EFF6FF"/>
              <w:bottom w:val="single" w:sz="4" w:color="EFF6FF"/>
              <w:right w:val="single" w:sz="4" w:color="EFF6FF"/>
            </w:tcBorders>
          </w:tcPr>
          <w:p/>
        </w:tc>
        <w:tc>
          <w:tcPr>
            <w:tcW w:type="dxa" w:w="5100"/>
            <w:shd w:fill="EFF6FF"/>
            <w:tcBorders>
              <w:top w:val="single" w:sz="4" w:color="EFF6FF"/>
              <w:left w:val="single" w:sz="4" w:color="EFF6FF"/>
              <w:bottom w:val="single" w:sz="4" w:color="EFF6FF"/>
              <w:right w:val="single" w:sz="4" w:color="EFF6FF"/>
            </w:tcBorders>
          </w:tcPr>
          <w:p>
            <w:pPr>
              <w:spacing w:before="80" w:after="80" w:line="276" w:lineRule="auto"/>
            </w:pPr>
            <w:r>
              <w:rPr>
                <w:rFonts w:ascii="Noto Sans CJK SC" w:hAnsi="Noto Sans CJK SC" w:eastAsia="Noto Sans CJK SC"/>
                <w:b/>
                <w:color w:val="111827"/>
                <w:sz w:val="21"/>
              </w:rPr>
              <w:t>质感参考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Ant Design X、Linear、Notion AI、飞书多维表格、现代 BI 工作台。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关键词：少边框、弱阴影、大留白、高密度数据区、清晰标题层级、克制状态表达。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Noto Sans CJK SC" w:hAnsi="Noto Sans CJK SC" w:eastAsia="Noto Sans CJK SC"/>
          <w:b/>
          <w:color w:val="163B5C"/>
          <w:sz w:val="34"/>
        </w:rPr>
        <w:t>3. 主会话区视觉收口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3.1 移除调试感标签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生产态主会话区不应默认展示“消息”“文本内容”“message”“content”“debug”“raw”等调试标签。用户看到的应是问题、回答、结果、数据、洞察和动作。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76"/>
        <w:gridCol w:w="5472"/>
      </w:tblGrid>
      <w:tr>
        <w:trPr>
          <w:tblHeader w:val="true"/>
          <w:cantSplit/>
        </w:trPr>
        <w:tc>
          <w:tcPr>
            <w:tcW w:type="dxa" w:w="51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当前问题</w:t>
            </w:r>
          </w:p>
        </w:tc>
        <w:tc>
          <w:tcPr>
            <w:tcW w:type="dxa" w:w="51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优化后</w:t>
            </w:r>
          </w:p>
        </w:tc>
      </w:tr>
      <w:tr>
        <w:trPr>
          <w:cantSplit/>
        </w:trPr>
        <w:tc>
          <w:tcPr>
            <w:tcW w:type="dxa" w:w="41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消息 / 文本内容 / 容器字段外露</w:t>
            </w:r>
          </w:p>
        </w:tc>
        <w:tc>
          <w:tcPr>
            <w:tcW w:type="dxa" w:w="547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直接展示用户问题与 AI 结果，不暴露内部字段名</w:t>
            </w:r>
          </w:p>
        </w:tc>
      </w:tr>
      <w:tr>
        <w:trPr>
          <w:cantSplit/>
        </w:trPr>
        <w:tc>
          <w:tcPr>
            <w:tcW w:type="dxa" w:w="417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主消息区出现 raw 或 trace 信息</w:t>
            </w:r>
          </w:p>
        </w:tc>
        <w:tc>
          <w:tcPr>
            <w:tcW w:type="dxa" w:w="5472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raw / trace / prompt / payload 只进入右侧过程与依据面板</w:t>
            </w:r>
          </w:p>
        </w:tc>
      </w:tr>
      <w:tr>
        <w:trPr>
          <w:cantSplit/>
        </w:trPr>
        <w:tc>
          <w:tcPr>
            <w:tcW w:type="dxa" w:w="41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所有消息都像后台表单块</w:t>
            </w:r>
          </w:p>
        </w:tc>
        <w:tc>
          <w:tcPr>
            <w:tcW w:type="dxa" w:w="547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用户消息轻量化，AI 消息结果化，系统状态弱提示化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3.2 用户消息轻量化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右侧对齐；轻量气泡或弱容器；浅背景；弱边框或无边框。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最大宽度建议 68%-72%，避免一行过长导致阅读疲劳。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不显示标题，不显示“消息”。hover 时再显示复制、编辑、版本切换等操作。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视觉原则：用户消息是上下文，不是结果卡片。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3.3 AI 消息结果化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AI 消息不应是普通聊天气泡，而应作为结果容器承载结构化信息。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vAlign w:val="center"/>
          </w:tcPr>
          <w:p>
            <w:pPr>
              <w:spacing w:before="80" w:after="80" w:line="240" w:lineRule="auto"/>
              <w:ind w:left="120" w:right="120"/>
            </w:pPr>
            <w:r>
              <w:rPr>
                <w:rFonts w:ascii="Courier New" w:hAnsi="Courier New" w:eastAsia="Courier New"/>
                <w:color w:val="374151"/>
                <w:sz w:val="18"/>
              </w:rPr>
              <w:t>AI Result Container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├─ Header / 结论标题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├─ Summary / 核心摘要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├─ Structured Regions / 数据、图表、表格、洞察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├─ Evidence Entry / 依据入口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└─ Action Bar / 后续动作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左侧对齐；白底或轻 surface；弱边框；无重阴影；大圆角。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内部使用 section 分层：标题、摘要、结构化内容、依据、动作。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重点内容高亮，次要内容弱化。不要过度卡片化。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3.4 系统状态弱提示化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系统状态不应抢主内容权重。正在分析、已完成、部分完成、已保存、正在生成等状态，应展示为小型状态条、轻量 badge 或 inline status。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8928"/>
      </w:tblGrid>
      <w:tr>
        <w:trPr>
          <w:cantSplit/>
        </w:trPr>
        <w:tc>
          <w:tcPr>
            <w:tcW w:type="dxa" w:w="5100"/>
            <w:shd w:fill="EF4444"/>
            <w:tcBorders>
              <w:top w:val="single" w:sz="4" w:color="FEF2F2"/>
              <w:left w:val="single" w:sz="4" w:color="FEF2F2"/>
              <w:bottom w:val="single" w:sz="4" w:color="FEF2F2"/>
              <w:right w:val="single" w:sz="4" w:color="FEF2F2"/>
            </w:tcBorders>
          </w:tcPr>
          <w:p/>
        </w:tc>
        <w:tc>
          <w:tcPr>
            <w:tcW w:type="dxa" w:w="5100"/>
            <w:shd w:fill="FEF2F2"/>
            <w:tcBorders>
              <w:top w:val="single" w:sz="4" w:color="FEF2F2"/>
              <w:left w:val="single" w:sz="4" w:color="FEF2F2"/>
              <w:bottom w:val="single" w:sz="4" w:color="FEF2F2"/>
              <w:right w:val="single" w:sz="4" w:color="FEF2F2"/>
            </w:tcBorders>
          </w:tcPr>
          <w:p>
            <w:pPr>
              <w:spacing w:before="80" w:after="80" w:line="276" w:lineRule="auto"/>
            </w:pPr>
            <w:r>
              <w:rPr>
                <w:rFonts w:ascii="Noto Sans CJK SC" w:hAnsi="Noto Sans CJK SC" w:eastAsia="Noto Sans CJK SC"/>
                <w:b/>
                <w:color w:val="111827"/>
                <w:sz w:val="21"/>
              </w:rPr>
              <w:t>禁止项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不要为“缺少媒体平台选择”等工具链问题做特殊 UI 兜底。该问题属于 Entity Resolution / Tool Output Adapter / Slot Filling / PlannerInput 链路，不属于本次视觉层任务。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Noto Sans CJK SC" w:hAnsi="Noto Sans CJK SC" w:eastAsia="Noto Sans CJK SC"/>
          <w:b/>
          <w:color w:val="163B5C"/>
          <w:sz w:val="34"/>
        </w:rPr>
        <w:t>4. 四类正常链路视觉模板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本次只处理正常链路展示：普通回答、报表查询成功、分析洞察、执行任务结果。每类模板都必须通过 regions → componentBinding → registry 渲染。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4.1 普通回答模板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4464"/>
        <w:gridCol w:w="3456"/>
      </w:tblGrid>
      <w:tr>
        <w:trPr>
          <w:tblHeader w:val="true"/>
          <w:cantSplit/>
        </w:trPr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推荐组件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主结论</w:t>
            </w:r>
          </w:p>
        </w:tc>
        <w:tc>
          <w:tcPr>
            <w:tcW w:type="dxa" w:w="446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一句话回答问题，放在最前</w:t>
            </w:r>
          </w:p>
        </w:tc>
        <w:tc>
          <w:tcPr>
            <w:tcW w:type="dxa" w:w="345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markdown-result / answer.summary</w:t>
            </w:r>
          </w:p>
        </w:tc>
      </w:tr>
      <w:tr>
        <w:trPr>
          <w:cantSplit/>
        </w:trPr>
        <w:tc>
          <w:tcPr>
            <w:tcW w:type="dxa" w:w="172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解释正文</w:t>
            </w:r>
          </w:p>
        </w:tc>
        <w:tc>
          <w:tcPr>
            <w:tcW w:type="dxa" w:w="446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必要背景和逻辑解释</w:t>
            </w:r>
          </w:p>
        </w:tc>
        <w:tc>
          <w:tcPr>
            <w:tcW w:type="dxa" w:w="345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markdown-result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关键点</w:t>
            </w:r>
          </w:p>
        </w:tc>
        <w:tc>
          <w:tcPr>
            <w:tcW w:type="dxa" w:w="446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最多 3-5 条，便于扫读</w:t>
            </w:r>
          </w:p>
        </w:tc>
        <w:tc>
          <w:tcPr>
            <w:tcW w:type="dxa" w:w="345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key-point-list</w:t>
            </w:r>
          </w:p>
        </w:tc>
      </w:tr>
      <w:tr>
        <w:trPr>
          <w:cantSplit/>
        </w:trPr>
        <w:tc>
          <w:tcPr>
            <w:tcW w:type="dxa" w:w="172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依据入口</w:t>
            </w:r>
          </w:p>
        </w:tc>
        <w:tc>
          <w:tcPr>
            <w:tcW w:type="dxa" w:w="446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可选，进入右侧过程与依据</w:t>
            </w:r>
          </w:p>
        </w:tc>
        <w:tc>
          <w:tcPr>
            <w:tcW w:type="dxa" w:w="345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evidence-summary / disclosure.entry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后续建议</w:t>
            </w:r>
          </w:p>
        </w:tc>
        <w:tc>
          <w:tcPr>
            <w:tcW w:type="dxa" w:w="446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1 个主建议 + 最多 3 个次建议</w:t>
            </w:r>
          </w:p>
        </w:tc>
        <w:tc>
          <w:tcPr>
            <w:tcW w:type="dxa" w:w="345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action-bar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设计要求：Markdown 不要像文档编辑器；段落间距适中；列表清晰；引用弱化；主结论优先。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4.2 报表查询成功模板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4464"/>
        <w:gridCol w:w="3744"/>
      </w:tblGrid>
      <w:tr>
        <w:trPr>
          <w:tblHeader w:val="true"/>
          <w:cantSplit/>
        </w:trPr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展示内容</w:t>
            </w:r>
          </w:p>
        </w:tc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视觉要求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标题区</w:t>
            </w:r>
          </w:p>
        </w:tc>
        <w:tc>
          <w:tcPr>
            <w:tcW w:type="dxa" w:w="446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报表名称、时间范围、数据状态</w:t>
            </w:r>
          </w:p>
        </w:tc>
        <w:tc>
          <w:tcPr>
            <w:tcW w:type="dxa" w:w="37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简洁标题 + 次级口径信息</w:t>
            </w:r>
          </w:p>
        </w:tc>
      </w:tr>
      <w:tr>
        <w:trPr>
          <w:cantSplit/>
        </w:trPr>
        <w:tc>
          <w:tcPr>
            <w:tcW w:type="dxa" w:w="1440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结论摘要</w:t>
            </w:r>
          </w:p>
        </w:tc>
        <w:tc>
          <w:tcPr>
            <w:tcW w:type="dxa" w:w="446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整体趋势、关键异动、核心判断</w:t>
            </w:r>
          </w:p>
        </w:tc>
        <w:tc>
          <w:tcPr>
            <w:tcW w:type="dxa" w:w="374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ResultPanel 内首屏可见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指标卡</w:t>
            </w:r>
          </w:p>
        </w:tc>
        <w:tc>
          <w:tcPr>
            <w:tcW w:type="dxa" w:w="446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ROI、成本、消耗、激活、付费人数等 3-5 个核心指标</w:t>
            </w:r>
          </w:p>
        </w:tc>
        <w:tc>
          <w:tcPr>
            <w:tcW w:type="dxa" w:w="37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数值大、单位清晰、变化状态克制</w:t>
            </w:r>
          </w:p>
        </w:tc>
      </w:tr>
      <w:tr>
        <w:trPr>
          <w:cantSplit/>
        </w:trPr>
        <w:tc>
          <w:tcPr>
            <w:tcW w:type="dxa" w:w="1440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图表区</w:t>
            </w:r>
          </w:p>
        </w:tc>
        <w:tc>
          <w:tcPr>
            <w:tcW w:type="dxa" w:w="446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趋势图、对比图、分组图</w:t>
            </w:r>
          </w:p>
        </w:tc>
        <w:tc>
          <w:tcPr>
            <w:tcW w:type="dxa" w:w="374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干净、少装饰、突出变化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明细表</w:t>
            </w:r>
          </w:p>
        </w:tc>
        <w:tc>
          <w:tcPr>
            <w:tcW w:type="dxa" w:w="446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日期 / 媒体 / 项目 / 账户等维度明细</w:t>
            </w:r>
          </w:p>
        </w:tc>
        <w:tc>
          <w:tcPr>
            <w:tcW w:type="dxa" w:w="37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紧凑密度、数值右对齐、横向滚动</w:t>
            </w:r>
          </w:p>
        </w:tc>
      </w:tr>
      <w:tr>
        <w:trPr>
          <w:cantSplit/>
        </w:trPr>
        <w:tc>
          <w:tcPr>
            <w:tcW w:type="dxa" w:w="1440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口径说明</w:t>
            </w:r>
          </w:p>
        </w:tc>
        <w:tc>
          <w:tcPr>
            <w:tcW w:type="dxa" w:w="446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数据来源、更新时间、过滤条件</w:t>
            </w:r>
          </w:p>
        </w:tc>
        <w:tc>
          <w:tcPr>
            <w:tcW w:type="dxa" w:w="374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弱化但可见，避免干扰主结果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后续动作</w:t>
            </w:r>
          </w:p>
        </w:tc>
        <w:tc>
          <w:tcPr>
            <w:tcW w:type="dxa" w:w="446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继续分析、导出、保存、生成日报</w:t>
            </w:r>
          </w:p>
        </w:tc>
        <w:tc>
          <w:tcPr>
            <w:tcW w:type="dxa" w:w="37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主操作最多 1 个，次操作最多 3 个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8928"/>
      </w:tblGrid>
      <w:tr>
        <w:trPr>
          <w:cantSplit/>
        </w:trPr>
        <w:tc>
          <w:tcPr>
            <w:tcW w:type="dxa" w:w="5100"/>
            <w:shd w:fill="10B981"/>
            <w:tcBorders>
              <w:top w:val="single" w:sz="4" w:color="ECFDF5"/>
              <w:left w:val="single" w:sz="4" w:color="ECFDF5"/>
              <w:bottom w:val="single" w:sz="4" w:color="ECFDF5"/>
              <w:right w:val="single" w:sz="4" w:color="ECFDF5"/>
            </w:tcBorders>
          </w:tcPr>
          <w:p/>
        </w:tc>
        <w:tc>
          <w:tcPr>
            <w:tcW w:type="dxa" w:w="5100"/>
            <w:shd w:fill="ECFDF5"/>
            <w:tcBorders>
              <w:top w:val="single" w:sz="4" w:color="ECFDF5"/>
              <w:left w:val="single" w:sz="4" w:color="ECFDF5"/>
              <w:bottom w:val="single" w:sz="4" w:color="ECFDF5"/>
              <w:right w:val="single" w:sz="4" w:color="ECFDF5"/>
            </w:tcBorders>
          </w:tcPr>
          <w:p>
            <w:pPr>
              <w:spacing w:before="80" w:after="80" w:line="276" w:lineRule="auto"/>
            </w:pPr>
            <w:r>
              <w:rPr>
                <w:rFonts w:ascii="Noto Sans CJK SC" w:hAnsi="Noto Sans CJK SC" w:eastAsia="Noto Sans CJK SC"/>
                <w:b/>
                <w:color w:val="111827"/>
                <w:sz w:val="21"/>
              </w:rPr>
              <w:t>报表结果视觉原则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报表查询成功后应像一个轻 BI 卡片，而不是普通 Markdown。用户第一眼看到结论和指标，第二眼看到趋势和明细，最后才看口径与依据。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4.3 分析洞察模板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分析类输出不能只是一大段 Markdown，应结构化为专家 memo。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4464"/>
        <w:gridCol w:w="3456"/>
      </w:tblGrid>
      <w:tr>
        <w:trPr>
          <w:tblHeader w:val="true"/>
          <w:cantSplit/>
        </w:trPr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视觉表现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核心判断</w:t>
            </w:r>
          </w:p>
        </w:tc>
        <w:tc>
          <w:tcPr>
            <w:tcW w:type="dxa" w:w="446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最重要的结论或判断</w:t>
            </w:r>
          </w:p>
        </w:tc>
        <w:tc>
          <w:tcPr>
            <w:tcW w:type="dxa" w:w="345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顶部结论卡，语气明确</w:t>
            </w:r>
          </w:p>
        </w:tc>
      </w:tr>
      <w:tr>
        <w:trPr>
          <w:cantSplit/>
        </w:trPr>
        <w:tc>
          <w:tcPr>
            <w:tcW w:type="dxa" w:w="172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关键证据</w:t>
            </w:r>
          </w:p>
        </w:tc>
        <w:tc>
          <w:tcPr>
            <w:tcW w:type="dxa" w:w="446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支持判断的数据变化、对比基准、异常点</w:t>
            </w:r>
          </w:p>
        </w:tc>
        <w:tc>
          <w:tcPr>
            <w:tcW w:type="dxa" w:w="345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证据列表，按重要性排序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原因假设</w:t>
            </w:r>
          </w:p>
        </w:tc>
        <w:tc>
          <w:tcPr>
            <w:tcW w:type="dxa" w:w="446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可能原因，按可信度排序</w:t>
            </w:r>
          </w:p>
        </w:tc>
        <w:tc>
          <w:tcPr>
            <w:tcW w:type="dxa" w:w="345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InsightBlock，弱标题 + 置信度提示</w:t>
            </w:r>
          </w:p>
        </w:tc>
      </w:tr>
      <w:tr>
        <w:trPr>
          <w:cantSplit/>
        </w:trPr>
        <w:tc>
          <w:tcPr>
            <w:tcW w:type="dxa" w:w="172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风险提示</w:t>
            </w:r>
          </w:p>
        </w:tc>
        <w:tc>
          <w:tcPr>
            <w:tcW w:type="dxa" w:w="446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策略风险、数据风险、执行风险</w:t>
            </w:r>
          </w:p>
        </w:tc>
        <w:tc>
          <w:tcPr>
            <w:tcW w:type="dxa" w:w="345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轻 warning，不大面积警告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建议动作</w:t>
            </w:r>
          </w:p>
        </w:tc>
        <w:tc>
          <w:tcPr>
            <w:tcW w:type="dxa" w:w="446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可执行的优化建议</w:t>
            </w:r>
          </w:p>
        </w:tc>
        <w:tc>
          <w:tcPr>
            <w:tcW w:type="dxa" w:w="345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action list，明确优先级</w:t>
            </w:r>
          </w:p>
        </w:tc>
      </w:tr>
      <w:tr>
        <w:trPr>
          <w:cantSplit/>
        </w:trPr>
        <w:tc>
          <w:tcPr>
            <w:tcW w:type="dxa" w:w="172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下一步</w:t>
            </w:r>
          </w:p>
        </w:tc>
        <w:tc>
          <w:tcPr>
            <w:tcW w:type="dxa" w:w="446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继续查询、下钻、监控、导出等</w:t>
            </w:r>
          </w:p>
        </w:tc>
        <w:tc>
          <w:tcPr>
            <w:tcW w:type="dxa" w:w="345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ActionBar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4.4 执行任务结果模板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4320"/>
        <w:gridCol w:w="3600"/>
      </w:tblGrid>
      <w:tr>
        <w:trPr>
          <w:tblHeader w:val="true"/>
          <w:cantSplit/>
        </w:trPr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展示内容</w:t>
            </w:r>
          </w:p>
        </w:tc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任务名称</w:t>
            </w:r>
          </w:p>
        </w:tc>
        <w:tc>
          <w:tcPr>
            <w:tcW w:type="dxa" w:w="43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明确做了什么</w:t>
            </w:r>
          </w:p>
        </w:tc>
        <w:tc>
          <w:tcPr>
            <w:tcW w:type="dxa" w:w="36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已生成日报 / 已保存监控 / 已创建任务</w:t>
            </w:r>
          </w:p>
        </w:tc>
      </w:tr>
      <w:tr>
        <w:trPr>
          <w:cantSplit/>
        </w:trPr>
        <w:tc>
          <w:tcPr>
            <w:tcW w:type="dxa" w:w="172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执行状态</w:t>
            </w:r>
          </w:p>
        </w:tc>
        <w:tc>
          <w:tcPr>
            <w:tcW w:type="dxa" w:w="4320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成功、进行中、部分完成、失败</w:t>
            </w:r>
          </w:p>
        </w:tc>
        <w:tc>
          <w:tcPr>
            <w:tcW w:type="dxa" w:w="3600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小型状态条或 badge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完成结果</w:t>
            </w:r>
          </w:p>
        </w:tc>
        <w:tc>
          <w:tcPr>
            <w:tcW w:type="dxa" w:w="43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执行产物和结果摘要</w:t>
            </w:r>
          </w:p>
        </w:tc>
        <w:tc>
          <w:tcPr>
            <w:tcW w:type="dxa" w:w="36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数据表、图表、结论摘要</w:t>
            </w:r>
          </w:p>
        </w:tc>
      </w:tr>
      <w:tr>
        <w:trPr>
          <w:cantSplit/>
        </w:trPr>
        <w:tc>
          <w:tcPr>
            <w:tcW w:type="dxa" w:w="172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产物入口</w:t>
            </w:r>
          </w:p>
        </w:tc>
        <w:tc>
          <w:tcPr>
            <w:tcW w:type="dxa" w:w="4320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文件、报表、任务、知识库链接</w:t>
            </w:r>
          </w:p>
        </w:tc>
        <w:tc>
          <w:tcPr>
            <w:tcW w:type="dxa" w:w="3600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查看 / 导出 / 保存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影响范围</w:t>
            </w:r>
          </w:p>
        </w:tc>
        <w:tc>
          <w:tcPr>
            <w:tcW w:type="dxa" w:w="43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对哪些项目、数据、用户可见</w:t>
            </w:r>
          </w:p>
        </w:tc>
        <w:tc>
          <w:tcPr>
            <w:tcW w:type="dxa" w:w="36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弱提示文本</w:t>
            </w:r>
          </w:p>
        </w:tc>
      </w:tr>
      <w:tr>
        <w:trPr>
          <w:cantSplit/>
        </w:trPr>
        <w:tc>
          <w:tcPr>
            <w:tcW w:type="dxa" w:w="172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后续动作</w:t>
            </w:r>
          </w:p>
        </w:tc>
        <w:tc>
          <w:tcPr>
            <w:tcW w:type="dxa" w:w="4320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查看、导出、继续分析、分享</w:t>
            </w:r>
          </w:p>
        </w:tc>
        <w:tc>
          <w:tcPr>
            <w:tcW w:type="dxa" w:w="3600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ActionBar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视觉原则：任务结果要清楚告诉用户做了什么、是否成功、产物在哪、下一步能做什么。</w:t>
      </w:r>
    </w:p>
    <w:p>
      <w:pPr>
        <w:pStyle w:val="Heading1"/>
        <w:spacing w:before="360" w:after="200"/>
      </w:pPr>
      <w:r>
        <w:rPr>
          <w:rFonts w:ascii="Noto Sans CJK SC" w:hAnsi="Noto Sans CJK SC" w:eastAsia="Noto Sans CJK SC"/>
          <w:b/>
          <w:color w:val="163B5C"/>
          <w:sz w:val="34"/>
        </w:rPr>
        <w:t>5. 右侧“过程与依据”面板视觉优化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右侧面板是可信披露系统，不是主流程兜底系统。它负责解释本次回答基于什么、做了哪些步骤、调用了哪些能力、数据质量如何、原始信息如何受权限控制。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5.1 面板信息层级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6048"/>
        <w:gridCol w:w="2016"/>
      </w:tblGrid>
      <w:tr>
        <w:trPr>
          <w:tblHeader w:val="true"/>
          <w:cantSplit/>
        </w:trPr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一级入口</w:t>
            </w:r>
          </w:p>
        </w:tc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默认权重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概览</w:t>
            </w:r>
          </w:p>
        </w:tc>
        <w:tc>
          <w:tcPr>
            <w:tcW w:type="dxa" w:w="604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回答基于什么、最终状态、是否存在质量提示</w:t>
            </w:r>
          </w:p>
        </w:tc>
        <w:tc>
          <w:tcPr>
            <w:tcW w:type="dxa" w:w="201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最高，默认打开</w:t>
            </w:r>
          </w:p>
        </w:tc>
      </w:tr>
      <w:tr>
        <w:trPr>
          <w:cantSplit/>
        </w:trPr>
        <w:tc>
          <w:tcPr>
            <w:tcW w:type="dxa" w:w="158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执行</w:t>
            </w:r>
          </w:p>
        </w:tc>
        <w:tc>
          <w:tcPr>
            <w:tcW w:type="dxa" w:w="604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步骤时间线、状态、耗时、简短说明</w:t>
            </w:r>
          </w:p>
        </w:tc>
        <w:tc>
          <w:tcPr>
            <w:tcW w:type="dxa" w:w="201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数据结果</w:t>
            </w:r>
          </w:p>
        </w:tc>
        <w:tc>
          <w:tcPr>
            <w:tcW w:type="dxa" w:w="604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结构化数据结果、表格摘要、字段摘要</w:t>
            </w:r>
          </w:p>
        </w:tc>
        <w:tc>
          <w:tcPr>
            <w:tcW w:type="dxa" w:w="201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中高</w:t>
            </w:r>
          </w:p>
        </w:tc>
      </w:tr>
      <w:tr>
        <w:trPr>
          <w:cantSplit/>
        </w:trPr>
        <w:tc>
          <w:tcPr>
            <w:tcW w:type="dxa" w:w="1584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原始信息</w:t>
            </w:r>
          </w:p>
        </w:tc>
        <w:tc>
          <w:tcPr>
            <w:tcW w:type="dxa" w:w="604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RawInfo、Trace、Payload、Prompt，受权限控制</w:t>
            </w:r>
          </w:p>
        </w:tc>
        <w:tc>
          <w:tcPr>
            <w:tcW w:type="dxa" w:w="201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低，默认收起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更多</w:t>
            </w:r>
          </w:p>
        </w:tc>
        <w:tc>
          <w:tcPr>
            <w:tcW w:type="dxa" w:w="604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Prompt、字段、质量、来源、工具调用详情等二级信息</w:t>
            </w:r>
          </w:p>
        </w:tc>
        <w:tc>
          <w:tcPr>
            <w:tcW w:type="dxa" w:w="201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低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5.2 概览优先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顶部摘要卡展示最终状态、使用能力、数据来源、质量提示。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不要让 Prompt、字段、RawInfo 等技术细节抢占首屏。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普通用户优先看到“可信摘要”；管理员再展开看脱敏 Raw。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5.3 执行步骤时间线化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vAlign w:val="center"/>
          </w:tcPr>
          <w:p>
            <w:pPr>
              <w:spacing w:before="80" w:after="80" w:line="240" w:lineRule="auto"/>
              <w:ind w:left="120" w:right="120"/>
            </w:pPr>
            <w:r>
              <w:rPr>
                <w:rFonts w:ascii="Courier New" w:hAnsi="Courier New" w:eastAsia="Courier New"/>
                <w:color w:val="374151"/>
                <w:sz w:val="18"/>
              </w:rPr>
              <w:t>Step Item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├─ stepName / 步骤名称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├─ statusBadge / 状态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├─ duration / 耗时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├─ summary / 简短说明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└─ expandableDetail / 可展开详情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状态包括 success、running、queued、skipped、failed、degraded。成功状态不要满屏绿色，失败状态不要大面积红色，降级状态用轻 warning。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5.4 工具调用折叠化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888"/>
        <w:gridCol w:w="2592"/>
      </w:tblGrid>
      <w:tr>
        <w:trPr>
          <w:tblHeader w:val="true"/>
          <w:cantSplit/>
        </w:trPr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默认展示</w:t>
            </w:r>
          </w:p>
        </w:tc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展开后展示</w:t>
            </w:r>
          </w:p>
        </w:tc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权限要求</w:t>
            </w:r>
          </w:p>
        </w:tc>
      </w:tr>
      <w:tr>
        <w:trPr>
          <w:cantSplit/>
        </w:trPr>
        <w:tc>
          <w:tcPr>
            <w:tcW w:type="dxa" w:w="36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工具名、调用状态、耗时、参数摘要、结果摘要</w:t>
            </w:r>
          </w:p>
        </w:tc>
        <w:tc>
          <w:tcPr>
            <w:tcW w:type="dxa" w:w="38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完整参数、完整结果、错误栈、trace 片段</w:t>
            </w:r>
          </w:p>
        </w:tc>
        <w:tc>
          <w:tcPr>
            <w:tcW w:type="dxa" w:w="25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Raw 信息按普通用户 / 管理员 / 超级管理员权限控制</w:t>
            </w:r>
          </w:p>
        </w:tc>
      </w:tr>
      <w:tr>
        <w:trPr>
          <w:cantSplit/>
        </w:trPr>
        <w:tc>
          <w:tcPr>
            <w:tcW w:type="dxa" w:w="3600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多个工具调用列表</w:t>
            </w:r>
          </w:p>
        </w:tc>
        <w:tc>
          <w:tcPr>
            <w:tcW w:type="dxa" w:w="388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单个工具调用详情</w:t>
            </w:r>
          </w:p>
        </w:tc>
        <w:tc>
          <w:tcPr>
            <w:tcW w:type="dxa" w:w="2592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不在主消息区泄露 raw payload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5.5 原始信息弱化并受权限控制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原始信息放最后，默认收起。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普通用户仅展示安全摘要。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管理员 / 超级管理员展示字段级脱敏 Raw。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主消息区禁止展示 raw payload、完整 trace、prompt、token、cookie、access token 等敏感数据。</w:t>
      </w:r>
    </w:p>
    <w:p>
      <w:pPr>
        <w:pStyle w:val="Heading1"/>
        <w:spacing w:before="360" w:after="200"/>
      </w:pPr>
      <w:r>
        <w:rPr>
          <w:rFonts w:ascii="Noto Sans CJK SC" w:hAnsi="Noto Sans CJK SC" w:eastAsia="Noto Sans CJK SC"/>
          <w:b/>
          <w:color w:val="163B5C"/>
          <w:sz w:val="34"/>
        </w:rPr>
        <w:t>6. 视觉 Token 收口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本次必须清理 inline style、硬编码颜色、随机阴影、随机圆角、随机间距、重复 card 样式、局部写死 hover 样式。统一使用现有视觉 token 或新增 chat 专用 token。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4320"/>
        <w:gridCol w:w="3600"/>
      </w:tblGrid>
      <w:tr>
        <w:trPr>
          <w:tblHeader w:val="true"/>
          <w:cantSplit/>
        </w:trPr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Token 组</w:t>
            </w:r>
          </w:p>
        </w:tc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 token</w:t>
            </w:r>
          </w:p>
        </w:tc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surface</w:t>
            </w:r>
          </w:p>
        </w:tc>
        <w:tc>
          <w:tcPr>
            <w:tcW w:type="dxa" w:w="43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chat.surface.default / subtle / elevated / user / assistant</w:t>
            </w:r>
          </w:p>
        </w:tc>
        <w:tc>
          <w:tcPr>
            <w:tcW w:type="dxa" w:w="36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消息底色、结果容器、右侧面板</w:t>
            </w:r>
          </w:p>
        </w:tc>
      </w:tr>
      <w:tr>
        <w:trPr>
          <w:cantSplit/>
        </w:trPr>
        <w:tc>
          <w:tcPr>
            <w:tcW w:type="dxa" w:w="172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border</w:t>
            </w:r>
          </w:p>
        </w:tc>
        <w:tc>
          <w:tcPr>
            <w:tcW w:type="dxa" w:w="4320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chat.border.default / subtle / focus</w:t>
            </w:r>
          </w:p>
        </w:tc>
        <w:tc>
          <w:tcPr>
            <w:tcW w:type="dxa" w:w="3600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容器边框、输入框、表格线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text</w:t>
            </w:r>
          </w:p>
        </w:tc>
        <w:tc>
          <w:tcPr>
            <w:tcW w:type="dxa" w:w="43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chat.text.primary / secondary / muted / inverse</w:t>
            </w:r>
          </w:p>
        </w:tc>
        <w:tc>
          <w:tcPr>
            <w:tcW w:type="dxa" w:w="36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正文、辅助说明、弱提示、反白文本</w:t>
            </w:r>
          </w:p>
        </w:tc>
      </w:tr>
      <w:tr>
        <w:trPr>
          <w:cantSplit/>
        </w:trPr>
        <w:tc>
          <w:tcPr>
            <w:tcW w:type="dxa" w:w="172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status</w:t>
            </w:r>
          </w:p>
        </w:tc>
        <w:tc>
          <w:tcPr>
            <w:tcW w:type="dxa" w:w="4320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chat.status.success / warning / danger / info / degraded</w:t>
            </w:r>
          </w:p>
        </w:tc>
        <w:tc>
          <w:tcPr>
            <w:tcW w:type="dxa" w:w="3600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状态 badge、时间线状态、质量提示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radius</w:t>
            </w:r>
          </w:p>
        </w:tc>
        <w:tc>
          <w:tcPr>
            <w:tcW w:type="dxa" w:w="43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chat.radius.message / panel / badge</w:t>
            </w:r>
          </w:p>
        </w:tc>
        <w:tc>
          <w:tcPr>
            <w:tcW w:type="dxa" w:w="36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消息气泡、结果卡、状态标签</w:t>
            </w:r>
          </w:p>
        </w:tc>
      </w:tr>
      <w:tr>
        <w:trPr>
          <w:cantSplit/>
        </w:trPr>
        <w:tc>
          <w:tcPr>
            <w:tcW w:type="dxa" w:w="172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shadow</w:t>
            </w:r>
          </w:p>
        </w:tc>
        <w:tc>
          <w:tcPr>
            <w:tcW w:type="dxa" w:w="4320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chat.shadow.message / panel</w:t>
            </w:r>
          </w:p>
        </w:tc>
        <w:tc>
          <w:tcPr>
            <w:tcW w:type="dxa" w:w="3600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弱阴影层级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spacing</w:t>
            </w:r>
          </w:p>
        </w:tc>
        <w:tc>
          <w:tcPr>
            <w:tcW w:type="dxa" w:w="43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chat.spacing.messageGap / sectionGap / blockGap / inlineGap</w:t>
            </w:r>
          </w:p>
        </w:tc>
        <w:tc>
          <w:tcPr>
            <w:tcW w:type="dxa" w:w="36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消息间距、section 间距、块间距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8928"/>
      </w:tblGrid>
      <w:tr>
        <w:trPr>
          <w:cantSplit/>
        </w:trPr>
        <w:tc>
          <w:tcPr>
            <w:tcW w:type="dxa" w:w="5100"/>
            <w:shd w:fill="F59E0B"/>
            <w:tcBorders>
              <w:top w:val="single" w:sz="4" w:color="FFFBEB"/>
              <w:left w:val="single" w:sz="4" w:color="FFFBEB"/>
              <w:bottom w:val="single" w:sz="4" w:color="FFFBEB"/>
              <w:right w:val="single" w:sz="4" w:color="FFFBEB"/>
            </w:tcBorders>
          </w:tcPr>
          <w:p/>
        </w:tc>
        <w:tc>
          <w:tcPr>
            <w:tcW w:type="dxa" w:w="5100"/>
            <w:shd w:fill="FFFBEB"/>
            <w:tcBorders>
              <w:top w:val="single" w:sz="4" w:color="FFFBEB"/>
              <w:left w:val="single" w:sz="4" w:color="FFFBEB"/>
              <w:bottom w:val="single" w:sz="4" w:color="FFFBEB"/>
              <w:right w:val="single" w:sz="4" w:color="FFFBEB"/>
            </w:tcBorders>
          </w:tcPr>
          <w:p>
            <w:pPr>
              <w:spacing w:before="80" w:after="80" w:line="276" w:lineRule="auto"/>
            </w:pPr>
            <w:r>
              <w:rPr>
                <w:rFonts w:ascii="Noto Sans CJK SC" w:hAnsi="Noto Sans CJK SC" w:eastAsia="Noto Sans CJK SC"/>
                <w:b/>
                <w:color w:val="111827"/>
                <w:sz w:val="21"/>
              </w:rPr>
              <w:t>治理规则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所有消息组件只能使用 token，不允许散落样式常量。调整视觉时应优先改 token，而不是逐组件改颜色、间距、圆角。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Noto Sans CJK SC" w:hAnsi="Noto Sans CJK SC" w:eastAsia="Noto Sans CJK SC"/>
          <w:b/>
          <w:color w:val="163B5C"/>
          <w:sz w:val="34"/>
        </w:rPr>
        <w:t>7. 组件视觉规范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Message Shell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统一消息外层结构：MessageRow、MessageBubble / MessagePanel、MessageActions。用户消息和 AI 消息视觉区分清晰，消息间距稳定，hover 操作不打扰阅读，移动端不溢出。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Result Panel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AI 结构化结果统一使用 ResultPanel 视觉基座，包含 Header、Summary、Sections、Footer Actions。不要每个结果组件单独发明卡片样式。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Metric Card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指标卡统一展示指标名、主数值、变化量、趋势状态、辅助说明。数值对齐、单位清晰、涨跌状态克制、空值有占位。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Data Table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报表表格统一为紧凑密度、固定表头、数值右对齐、文本左对齐、异常值轻标记、支持横向滚动。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Insight Block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分析洞察统一承载结论、证据、解释、建议。不要让模型输出的大段 Markdown 直接成为最终视觉。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Action Bar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操作按钮统一分级：primary、secondary、tertiary、danger。主操作最多 1 个，次操作最多 3 个，更多进入菜单。</w:t>
      </w:r>
    </w:p>
    <w:p>
      <w:pPr>
        <w:pStyle w:val="Heading1"/>
        <w:spacing w:before="360" w:after="200"/>
      </w:pPr>
      <w:r>
        <w:rPr>
          <w:rFonts w:ascii="Noto Sans CJK SC" w:hAnsi="Noto Sans CJK SC" w:eastAsia="Noto Sans CJK SC"/>
          <w:b/>
          <w:color w:val="163B5C"/>
          <w:sz w:val="34"/>
        </w:rPr>
        <w:t>8. 动效与响应式规范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8.1 动效规范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896"/>
      </w:tblGrid>
      <w:tr>
        <w:trPr>
          <w:tblHeader w:val="true"/>
          <w:cantSplit/>
        </w:trPr>
        <w:tc>
          <w:tcPr>
            <w:tcW w:type="dxa" w:w="51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允许</w:t>
            </w:r>
          </w:p>
        </w:tc>
        <w:tc>
          <w:tcPr>
            <w:tcW w:type="dxa" w:w="51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禁止</w:t>
            </w:r>
          </w:p>
        </w:tc>
      </w:tr>
      <w:tr>
        <w:trPr>
          <w:cantSplit/>
        </w:trPr>
        <w:tc>
          <w:tcPr>
            <w:tcW w:type="dxa" w:w="47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消息进入：fade + translateY 4px</w:t>
            </w:r>
          </w:p>
        </w:tc>
        <w:tc>
          <w:tcPr>
            <w:tcW w:type="dxa" w:w="489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炫光、粒子、大幅弹跳</w:t>
            </w:r>
          </w:p>
        </w:tc>
      </w:tr>
      <w:tr>
        <w:trPr>
          <w:cantSplit/>
        </w:trPr>
        <w:tc>
          <w:tcPr>
            <w:tcW w:type="dxa" w:w="4752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面板展开：slide + fade</w:t>
            </w:r>
          </w:p>
        </w:tc>
        <w:tc>
          <w:tcPr>
            <w:tcW w:type="dxa" w:w="489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影响阅读的复杂 loading 动画</w:t>
            </w:r>
          </w:p>
        </w:tc>
      </w:tr>
      <w:tr>
        <w:trPr>
          <w:cantSplit/>
        </w:trPr>
        <w:tc>
          <w:tcPr>
            <w:tcW w:type="dxa" w:w="47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折叠展开：height + opacity</w:t>
            </w:r>
          </w:p>
        </w:tc>
        <w:tc>
          <w:tcPr>
            <w:tcW w:type="dxa" w:w="489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无意义的装饰动画</w:t>
            </w:r>
          </w:p>
        </w:tc>
      </w:tr>
      <w:tr>
        <w:trPr>
          <w:cantSplit/>
        </w:trPr>
        <w:tc>
          <w:tcPr>
            <w:tcW w:type="dxa" w:w="4752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状态切换：badge color transition</w:t>
            </w:r>
          </w:p>
        </w:tc>
        <w:tc>
          <w:tcPr>
            <w:tcW w:type="dxa" w:w="489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抢主内容注意力的动效</w:t>
            </w:r>
          </w:p>
        </w:tc>
      </w:tr>
    </w:tbl>
    <w:p>
      <w:pPr>
        <w:spacing w:after="40"/>
      </w:pP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8.2 响应式要求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7920"/>
      </w:tblGrid>
      <w:tr>
        <w:trPr>
          <w:tblHeader w:val="true"/>
          <w:cantSplit/>
        </w:trPr>
        <w:tc>
          <w:tcPr>
            <w:tcW w:type="dxa" w:w="51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设备</w:t>
            </w:r>
          </w:p>
        </w:tc>
        <w:tc>
          <w:tcPr>
            <w:tcW w:type="dxa" w:w="51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布局要求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桌面端</w:t>
            </w:r>
          </w:p>
        </w:tc>
        <w:tc>
          <w:tcPr>
            <w:tcW w:type="dxa" w:w="79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主会话区 + 右侧过程面板；消息最大宽度控制；数据结果可横向扩展。</w:t>
            </w:r>
          </w:p>
        </w:tc>
      </w:tr>
      <w:tr>
        <w:trPr>
          <w:cantSplit/>
        </w:trPr>
        <w:tc>
          <w:tcPr>
            <w:tcW w:type="dxa" w:w="172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平板端</w:t>
            </w:r>
          </w:p>
        </w:tc>
        <w:tc>
          <w:tcPr>
            <w:tcW w:type="dxa" w:w="7920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右侧面板可抽屉化；主消息宽度自适应；操作按钮允许折叠。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移动端</w:t>
            </w:r>
          </w:p>
        </w:tc>
        <w:tc>
          <w:tcPr>
            <w:tcW w:type="dxa" w:w="79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过程与依据进入底部抽屉；表格横向滚动；操作按钮折叠；长图表不挤压正文。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Noto Sans CJK SC" w:hAnsi="Noto Sans CJK SC" w:eastAsia="Noto Sans CJK SC"/>
          <w:b/>
          <w:color w:val="163B5C"/>
          <w:sz w:val="34"/>
        </w:rPr>
        <w:t>9. 不可做事项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8928"/>
      </w:tblGrid>
      <w:tr>
        <w:trPr>
          <w:cantSplit/>
        </w:trPr>
        <w:tc>
          <w:tcPr>
            <w:tcW w:type="dxa" w:w="5100"/>
            <w:shd w:fill="EF4444"/>
            <w:tcBorders>
              <w:top w:val="single" w:sz="4" w:color="FEF2F2"/>
              <w:left w:val="single" w:sz="4" w:color="FEF2F2"/>
              <w:bottom w:val="single" w:sz="4" w:color="FEF2F2"/>
              <w:right w:val="single" w:sz="4" w:color="FEF2F2"/>
            </w:tcBorders>
          </w:tcPr>
          <w:p/>
        </w:tc>
        <w:tc>
          <w:tcPr>
            <w:tcW w:type="dxa" w:w="5100"/>
            <w:shd w:fill="FEF2F2"/>
            <w:tcBorders>
              <w:top w:val="single" w:sz="4" w:color="FEF2F2"/>
              <w:left w:val="single" w:sz="4" w:color="FEF2F2"/>
              <w:bottom w:val="single" w:sz="4" w:color="FEF2F2"/>
              <w:right w:val="single" w:sz="4" w:color="FEF2F2"/>
            </w:tcBorders>
          </w:tcPr>
          <w:p>
            <w:pPr>
              <w:spacing w:before="80" w:after="80" w:line="276" w:lineRule="auto"/>
            </w:pPr>
            <w:r>
              <w:rPr>
                <w:rFonts w:ascii="Noto Sans CJK SC" w:hAnsi="Noto Sans CJK SC" w:eastAsia="Noto Sans CJK SC"/>
                <w:b/>
                <w:color w:val="111827"/>
                <w:sz w:val="21"/>
              </w:rPr>
              <w:t>红线清单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以下事项不允许以“临时优化体验”为理由绕过。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不要在 UI 层判断“缺少媒体平台选择”。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不要在 UI 层判断具体 MCP tool name。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不要根据 message.content.includes(...) 做样式。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不要新增 legacy renderer。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不要保留 old bubble / old card 兼容分支。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不要把调试字段暴露到主会话区。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不要让 Prompt 输出 HTML 或样式。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不要为某一个报表场景单独写死 UI。</w:t>
      </w:r>
    </w:p>
    <w:p>
      <w:pPr>
        <w:pStyle w:val="Heading1"/>
        <w:spacing w:before="360" w:after="200"/>
      </w:pPr>
      <w:r>
        <w:rPr>
          <w:rFonts w:ascii="Noto Sans CJK SC" w:hAnsi="Noto Sans CJK SC" w:eastAsia="Noto Sans CJK SC"/>
          <w:b/>
          <w:color w:val="163B5C"/>
          <w:sz w:val="34"/>
        </w:rPr>
        <w:t>10. 实施顺序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3888"/>
        <w:gridCol w:w="3312"/>
      </w:tblGrid>
      <w:tr>
        <w:trPr>
          <w:tblHeader w:val="true"/>
          <w:cantSplit/>
        </w:trPr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40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spacing w:before="60" w:after="6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输出物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Phase 1：视觉盘点与清理</w:t>
            </w:r>
          </w:p>
        </w:tc>
        <w:tc>
          <w:tcPr>
            <w:tcW w:type="dxa" w:w="38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清理调试标签、旧卡片、inline style、硬编码颜色、重复容器</w:t>
            </w:r>
          </w:p>
        </w:tc>
        <w:tc>
          <w:tcPr>
            <w:tcW w:type="dxa" w:w="331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样式迁移清单、组件基座清单</w:t>
            </w:r>
          </w:p>
        </w:tc>
      </w:tr>
      <w:tr>
        <w:trPr>
          <w:cantSplit/>
        </w:trPr>
        <w:tc>
          <w:tcPr>
            <w:tcW w:type="dxa" w:w="244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Phase 2：Message Shell 收口</w:t>
            </w:r>
          </w:p>
        </w:tc>
        <w:tc>
          <w:tcPr>
            <w:tcW w:type="dxa" w:w="388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用户消息轻量化、AI 消息结果化、系统状态弱提示化</w:t>
            </w:r>
          </w:p>
        </w:tc>
        <w:tc>
          <w:tcPr>
            <w:tcW w:type="dxa" w:w="3312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统一 MessageRow / ResultPanel / ActionBar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Phase 3：四类正常链路模板</w:t>
            </w:r>
          </w:p>
        </w:tc>
        <w:tc>
          <w:tcPr>
            <w:tcW w:type="dxa" w:w="38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普通回答、报表结果、分析洞察、任务结果</w:t>
            </w:r>
          </w:p>
        </w:tc>
        <w:tc>
          <w:tcPr>
            <w:tcW w:type="dxa" w:w="331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四类模板的 region/componentBinding 映射</w:t>
            </w:r>
          </w:p>
        </w:tc>
      </w:tr>
      <w:tr>
        <w:trPr>
          <w:cantSplit/>
        </w:trPr>
        <w:tc>
          <w:tcPr>
            <w:tcW w:type="dxa" w:w="244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Phase 4：右侧过程与依据优化</w:t>
            </w:r>
          </w:p>
        </w:tc>
        <w:tc>
          <w:tcPr>
            <w:tcW w:type="dxa" w:w="388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概览优先、步骤时间线、工具调用折叠、原始信息弱化</w:t>
            </w:r>
          </w:p>
        </w:tc>
        <w:tc>
          <w:tcPr>
            <w:tcW w:type="dxa" w:w="3312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Disclosure Panel 视觉规范与实现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Phase 5：视觉 Token 治理</w:t>
            </w:r>
          </w:p>
        </w:tc>
        <w:tc>
          <w:tcPr>
            <w:tcW w:type="dxa" w:w="38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chat token、状态 token、间距、圆角、阴影、字体层级</w:t>
            </w:r>
          </w:p>
        </w:tc>
        <w:tc>
          <w:tcPr>
            <w:tcW w:type="dxa" w:w="331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token 定义与散落样式清理</w:t>
            </w:r>
          </w:p>
        </w:tc>
      </w:tr>
      <w:tr>
        <w:trPr>
          <w:cantSplit/>
        </w:trPr>
        <w:tc>
          <w:tcPr>
            <w:tcW w:type="dxa" w:w="244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Phase 6：回归验收</w:t>
            </w:r>
          </w:p>
        </w:tc>
        <w:tc>
          <w:tcPr>
            <w:tcW w:type="dxa" w:w="3888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覆盖所有正常链路、权限视图、响应式体验</w:t>
            </w:r>
          </w:p>
        </w:tc>
        <w:tc>
          <w:tcPr>
            <w:tcW w:type="dxa" w:w="3312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top"/>
          </w:tcPr>
          <w:p>
            <w:pPr>
              <w:spacing w:before="60" w:after="60" w:line="264" w:lineRule="auto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验收报告与截图对比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Noto Sans CJK SC" w:hAnsi="Noto Sans CJK SC" w:eastAsia="Noto Sans CJK SC"/>
          <w:b/>
          <w:color w:val="163B5C"/>
          <w:sz w:val="34"/>
        </w:rPr>
        <w:t>11. 验收标准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11.1 视觉验收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主会话区不再出现“消息”“文本内容”等调试标签。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用户消息轻量，AI 消息结果化。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报表结果像专业 BI 卡片。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分析结果结构化，不是大段散文式 Markdown。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任务结果有明确产物和动作。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右侧过程面板层级清晰，Raw 信息弱化且权限可控。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11.2 工程验收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无新增 renderer 主链。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无 legacy 分支。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无业务硬编码。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无 MCP tool name 硬编码。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无 message.content 文案判断。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无 inline style。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无硬编码颜色。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所有组件通过 registry 渲染。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所有视觉样式使用 token。</w:t>
      </w:r>
    </w:p>
    <w:p>
      <w:pPr>
        <w:pStyle w:val="Heading2"/>
        <w:spacing w:before="280" w:after="160"/>
      </w:pPr>
      <w:r>
        <w:rPr>
          <w:rFonts w:ascii="Noto Sans CJK SC" w:hAnsi="Noto Sans CJK SC" w:eastAsia="Noto Sans CJK SC"/>
          <w:b/>
          <w:color w:val="1F4E79"/>
          <w:sz w:val="28"/>
        </w:rPr>
        <w:t>11.3 产品验收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用户第一眼能看到结果。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用户能理解数据口径。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用户能找到依据。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用户能继续操作。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管理员能查看过程。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b w:val="0"/>
          <w:color w:val="111827"/>
          <w:sz w:val="21"/>
        </w:rPr>
        <w:t>普通用户不会看到 Raw 泄露。</w:t>
      </w:r>
    </w:p>
    <w:p>
      <w:pPr>
        <w:pStyle w:val="Heading1"/>
        <w:spacing w:before="360" w:after="200"/>
      </w:pPr>
      <w:r>
        <w:rPr>
          <w:rFonts w:ascii="Noto Sans CJK SC" w:hAnsi="Noto Sans CJK SC" w:eastAsia="Noto Sans CJK SC"/>
          <w:b/>
          <w:color w:val="163B5C"/>
          <w:sz w:val="34"/>
        </w:rPr>
        <w:t>12. Codex 最终执行指令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vAlign w:val="center"/>
          </w:tcPr>
          <w:p>
            <w:pPr>
              <w:spacing w:before="80" w:after="80" w:line="240" w:lineRule="auto"/>
              <w:ind w:left="120" w:right="120"/>
            </w:pPr>
            <w:r>
              <w:rPr>
                <w:rFonts w:ascii="Courier New" w:hAnsi="Courier New" w:eastAsia="Courier New"/>
                <w:color w:val="374151"/>
                <w:sz w:val="18"/>
              </w:rPr>
              <w:t>本次只做 Chat 会话区视觉层优化，不改 Runtime、不改 Entity Resolution、不改 Tool Calling、不改 MCP 调用链路、不新增渲染主链。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现有主链路为 MessageContract / SemanticResultContract / regions / componentBinding / registry / MessagePresentationRenderer。所有优化必须基于这条主链完成。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目标是对企业级 Chat 会话区做生产级视觉收口，达到 Ant Design X / Linear / Notion AI 级别的专业质感：结果优先、信息层级清晰、依据可信、操作自然、数据展示专业。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实施要求：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1. 移除主会话区调试感标签，例如“消息”“文本内容”等默认展示。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2. 重构用户消息、AI 消息、系统状态的视觉层级：用户消息轻量化；AI 消息结果化；系统状态弱提示化。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3. 建立四类正常链路视觉模板：普通回答、报表查询成功、分析洞察、执行任务结果。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4. 优化右侧“过程与依据”面板：概览优先；执行步骤时间线化；工具调用折叠化；数据结果结构化；原始信息弱化并受权限控制。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5. 所有样式必须收敛到现有视觉 token 或新增 chat 专用 token。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6. 禁止 inline style、硬编码颜色、随机圆角、随机阴影、逐消息特殊样式。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7. 禁止为“缺少媒体平台选择”等工具链问题增加 UI 兜底样式。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8. 禁止新增第二套 renderer、旧样式兼容分支或旁路服务。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9. 不遗漏已有消息服务输出：普通回答、报表结果、分析结果、任务结果、过程与依据入口都必须保持可渲染。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10. 所有组件必须继续通过 regions / componentBinding / registry 渲染，MessagePresentationRenderer 不得包含广告业务、MCP 工具名或具体报表名判断。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11. 清理主会话区所有调试态视觉，只把 raw / trace / prompt / payload 放入右侧过程与依据面板，并遵守权限控制。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12. 完成桌面、平板、移动端响应式体验。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最终验收：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- 无旧 renderer 分支；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- 无硬编码业务样式；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- 无 inline style；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- 无工具名判断；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- 无文案 includes 判断；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- 普通回答、报表结果、分析洞察、任务结果、过程与依据五类展示稳定；</w:t>
            </w:r>
            <w:r>
              <w:br/>
            </w:r>
            <w:r>
              <w:rPr>
                <w:rFonts w:ascii="Courier New" w:hAnsi="Courier New" w:eastAsia="Courier New"/>
                <w:color w:val="374151"/>
                <w:sz w:val="18"/>
              </w:rPr>
              <w:t>- 企业级 Chat 工作台视觉质感明显提升。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8928"/>
      </w:tblGrid>
      <w:tr>
        <w:trPr>
          <w:cantSplit/>
        </w:trPr>
        <w:tc>
          <w:tcPr>
            <w:tcW w:type="dxa" w:w="5100"/>
            <w:shd w:fill="10B981"/>
            <w:tcBorders>
              <w:top w:val="single" w:sz="4" w:color="ECFDF5"/>
              <w:left w:val="single" w:sz="4" w:color="ECFDF5"/>
              <w:bottom w:val="single" w:sz="4" w:color="ECFDF5"/>
              <w:right w:val="single" w:sz="4" w:color="ECFDF5"/>
            </w:tcBorders>
          </w:tcPr>
          <w:p/>
        </w:tc>
        <w:tc>
          <w:tcPr>
            <w:tcW w:type="dxa" w:w="5100"/>
            <w:shd w:fill="ECFDF5"/>
            <w:tcBorders>
              <w:top w:val="single" w:sz="4" w:color="ECFDF5"/>
              <w:left w:val="single" w:sz="4" w:color="ECFDF5"/>
              <w:bottom w:val="single" w:sz="4" w:color="ECFDF5"/>
              <w:right w:val="single" w:sz="4" w:color="ECFDF5"/>
            </w:tcBorders>
          </w:tcPr>
          <w:p>
            <w:pPr>
              <w:spacing w:before="80" w:after="80" w:line="276" w:lineRule="auto"/>
            </w:pPr>
            <w:r>
              <w:rPr>
                <w:rFonts w:ascii="Noto Sans CJK SC" w:hAnsi="Noto Sans CJK SC" w:eastAsia="Noto Sans CJK SC"/>
                <w:b/>
                <w:color w:val="111827"/>
                <w:sz w:val="21"/>
              </w:rPr>
              <w:t>最终原则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这次不是重构 Chat 架构，而是把现有渲染主链做成生产级视觉系统。工具链解决“能不能正确完成任务”，Presentation Layer 解决“完成后的结果如何企业级表达”。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B7280"/>
        <w:sz w:val="16"/>
      </w:rPr>
      <w:t>Chat 会话区视觉层生产级优化方案 | v1.0 | Internal Design Spec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B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