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28"/>
        </w:rPr>
        <w:t>Development of an Open-Source Multi-Domain Space Weather Visualization Application, and a Silent Failure Mode in Its Coordinate Transformation Dependency</w:t>
      </w:r>
    </w:p>
    <w:p>
      <w:pPr>
        <w:spacing w:after="120"/>
        <w:jc w:val="center"/>
      </w:pPr>
      <w:r>
        <w:rPr>
          <w:rFonts w:ascii="Times New Roman" w:hAnsi="Times New Roman" w:eastAsia="Times New Roman"/>
          <w:b w:val="0"/>
          <w:i w:val="0"/>
          <w:sz w:val="24"/>
        </w:rPr>
        <w:t>A. A. Author</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B. B. Second-Author</w:t>
      </w:r>
      <w:r>
        <w:rPr>
          <w:rFonts w:ascii="Times New Roman" w:hAnsi="Times New Roman" w:eastAsia="Times New Roman"/>
          <w:b w:val="0"/>
          <w:i w:val="0"/>
          <w:sz w:val="24"/>
          <w:vertAlign w:val="superscript"/>
        </w:rPr>
        <w:t>2</w:t>
      </w:r>
    </w:p>
    <w:p>
      <w:pPr>
        <w:spacing w:after="0"/>
        <w:jc w:val="center"/>
      </w:pPr>
      <w:r>
        <w:rPr>
          <w:rFonts w:ascii="Times New Roman" w:hAnsi="Times New Roman" w:eastAsia="Times New Roman"/>
          <w:b w:val="0"/>
          <w:i/>
          <w:sz w:val="20"/>
          <w:vertAlign w:val="superscript"/>
        </w:rPr>
        <w:t>1</w:t>
      </w:r>
      <w:r>
        <w:rPr>
          <w:rFonts w:ascii="Times New Roman" w:hAnsi="Times New Roman" w:eastAsia="Times New Roman"/>
          <w:b w:val="0"/>
          <w:i/>
          <w:sz w:val="20"/>
        </w:rPr>
        <w:t>Affiliation to be completed, City, Taiwan</w:t>
      </w:r>
    </w:p>
    <w:p>
      <w:pPr>
        <w:spacing w:after="0"/>
        <w:jc w:val="center"/>
      </w:pPr>
      <w:r>
        <w:rPr>
          <w:rFonts w:ascii="Times New Roman" w:hAnsi="Times New Roman" w:eastAsia="Times New Roman"/>
          <w:b w:val="0"/>
          <w:i/>
          <w:sz w:val="20"/>
          <w:vertAlign w:val="superscript"/>
        </w:rPr>
        <w:t>2</w:t>
      </w:r>
      <w:r>
        <w:rPr>
          <w:rFonts w:ascii="Times New Roman" w:hAnsi="Times New Roman" w:eastAsia="Times New Roman"/>
          <w:b w:val="0"/>
          <w:i/>
          <w:sz w:val="20"/>
        </w:rPr>
        <w:t>Affiliation to be completed, City, Taiwan</w:t>
      </w:r>
    </w:p>
    <w:p>
      <w:pPr>
        <w:spacing w:after="240"/>
        <w:jc w:val="center"/>
      </w:pPr>
      <w:r>
        <w:rPr>
          <w:rFonts w:ascii="Times New Roman" w:hAnsi="Times New Roman" w:eastAsia="Times New Roman"/>
          <w:b w:val="0"/>
          <w:i w:val="0"/>
          <w:sz w:val="20"/>
        </w:rPr>
        <w:t>*Corresponding author's email: rhynowu@gmail.com</w:t>
      </w:r>
    </w:p>
    <w:p>
      <w:pPr>
        <w:spacing w:after="160"/>
        <w:jc w:val="both"/>
      </w:pPr>
      <w:r>
        <w:rPr>
          <w:rFonts w:ascii="Times New Roman" w:hAnsi="Times New Roman" w:eastAsia="Times New Roman"/>
          <w:b w:val="0"/>
          <w:i w:val="0"/>
          <w:sz w:val="24"/>
        </w:rPr>
        <w:t>Space weather services in the Asia-Oceania region increasingly need tools that turn heterogeneous observations into judgements a non-specialist can act on. We report an open-source web application that presents space weather risk for three impact domains: high-frequency radio communication, GNSS positioning, and low-Earth-orbit prediction. It is built on a bitemporal store in which every record carries both a physical valid time and the time it was ingested, so that past events can be replayed exactly as they appeared to an operator at the time. We treat this as a prerequisite for honest forecast verification rather than an implementation detail.</w:t>
      </w:r>
    </w:p>
    <w:p>
      <w:pPr>
        <w:spacing w:after="160"/>
        <w:jc w:val="both"/>
      </w:pPr>
      <w:r>
        <w:rPr>
          <w:rFonts w:ascii="Times New Roman" w:hAnsi="Times New Roman" w:eastAsia="Times New Roman"/>
          <w:b w:val="0"/>
          <w:i w:val="0"/>
          <w:sz w:val="24"/>
        </w:rPr>
        <w:t>Two design decisions proved more consequential than the visualization itself. First, the system distinguishes three states rather than two: a criterion may be evaluated and found below threshold, evaluated only in part because some inputs are missing, or not evaluable at all. Merging the latter two into a green indicator would present absence of data as absence of hazard. Second, every derived quantity carries a provenance label recording whether it is observed, modelled, inferred from a proxy, or unavailable, so users see the evidential basis of a risk level and not only the level.</w:t>
      </w:r>
    </w:p>
    <w:p>
      <w:pPr>
        <w:spacing w:after="160"/>
        <w:jc w:val="both"/>
      </w:pPr>
      <w:r>
        <w:rPr>
          <w:rFonts w:ascii="Times New Roman" w:hAnsi="Times New Roman" w:eastAsia="Times New Roman"/>
          <w:b w:val="0"/>
          <w:i w:val="0"/>
          <w:sz w:val="24"/>
        </w:rPr>
        <w:t>Data are ingested from the Central Weather Administration Space Weather Operations Office, NOAA SWPC, GFZ Potsdam, CelesTrak, and the Taiwan Analysis Center for COSMIC. Integrating the FORMOSAT-7 onboard scintillation product supplied the first observed, rather than proxy, criterion for the GNSS domain, yielding amplitude scintillation index values up to 1.17 over the Taiwan sector and episodes consistent with the documented post-sunset peak. Using the FORMOSAT-7 precise orbit product as a truth reference, whose arc overlap consistency we measure at 0.25 m in three dimensions, two-line element position error over seven days and five satellites is 0.142 km radial, 0.731 km in-track and 0.170 km cross-track in root mean square, growing mainly in-track with element age.</w:t>
      </w:r>
    </w:p>
    <w:p>
      <w:pPr>
        <w:spacing w:after="160"/>
        <w:jc w:val="both"/>
      </w:pPr>
      <w:r>
        <w:rPr>
          <w:rFonts w:ascii="Times New Roman" w:hAnsi="Times New Roman" w:eastAsia="Times New Roman"/>
          <w:b w:val="0"/>
          <w:i w:val="0"/>
          <w:sz w:val="24"/>
        </w:rPr>
        <w:t>A finding of wider relevance emerged during this work. An installed astronomy library was incompatible with the installed numerical array package, and its time and coordinate modules could not be imported at all. Two independent causes were present: a removed array function, and a private symbol imported across a package boundary and since renamed. The common workaround addresses only the first. More seriously, a calling routine caught the import failure and re-raised it advising the user to install the library, which was already installed, so the diagnostic pointed away from the true cause. The pipeline comparing two-line elements against precise ephemerides therefore could not run, and its results table stayed empty with no visible error. After upgrading the library we also implemented an independent coordinate transformation and pinned it against the library across 2636 orbit points, agreeing to 0.081 m on average and 0.275 m at worst, with those reference values frozen into a test needing neither network access nor the library. We argue that dependency verification belongs inside the data quality regime of operational space weather software, because this failure class yields no wrong number, only a missing one.</w:t>
      </w:r>
    </w:p>
    <w:p>
      <w:pPr>
        <w:spacing w:after="160"/>
        <w:jc w:val="both"/>
      </w:pPr>
      <w:r>
        <w:rPr>
          <w:rFonts w:ascii="Times New Roman" w:hAnsi="Times New Roman" w:eastAsia="Times New Roman"/>
          <w:b w:val="0"/>
          <w:i w:val="0"/>
          <w:sz w:val="24"/>
        </w:rPr>
        <w:t>The application further includes a multilingual educational module for students aged twelve to eighteen, presenting the same data through interactive exercises in Traditional Chinese, Japanese, English and Malay. Source code, configuration and the data source inventory are public, and the application is deployed on a public cloud service.</w:t>
      </w:r>
    </w:p>
    <w:p>
      <w:pPr>
        <w:spacing w:after="80"/>
        <w:jc w:val="both"/>
      </w:pPr>
      <w:r>
        <w:rPr>
          <w:rFonts w:ascii="Times New Roman" w:hAnsi="Times New Roman" w:eastAsia="Times New Roman"/>
          <w:b w:val="0"/>
          <w:i w:val="0"/>
          <w:sz w:val="24"/>
        </w:rPr>
      </w:r>
    </w:p>
    <w:p>
      <w:pPr>
        <w:spacing w:after="0"/>
        <w:jc w:val="both"/>
      </w:pPr>
      <w:r>
        <w:rPr>
          <w:rFonts w:ascii="Times New Roman" w:hAnsi="Times New Roman" w:eastAsia="Times New Roman"/>
          <w:b w:val="0"/>
          <w:i w:val="0"/>
          <w:sz w:val="24"/>
        </w:rPr>
        <w:t>Keywords: space weather visualization, situational awareness, data provenance, ionospheric scintillation, software reproducibility</w:t>
      </w:r>
    </w:p>
    <w:sectPr w:rsidR="00FC693F" w:rsidRPr="0006063C" w:rsidSect="00034616">
      <w:pgSz w:w="11909" w:h="16819"/>
      <w:pgMar w:top="1584" w:right="1325" w:bottom="274" w:left="13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