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jc w:val="center"/>
      </w:pPr>
      <w:r>
        <w:rPr>
          <w:rFonts w:ascii="Times New Roman" w:hAnsi="Times New Roman" w:eastAsia="標楷體"/>
          <w:b/>
          <w:i w:val="0"/>
          <w:sz w:val="34"/>
        </w:rPr>
        <w:t>太空天氣視覺化系統：由福衛七號精密定軌建立實測熱氣層密度判據</w:t>
      </w:r>
    </w:p>
    <w:p>
      <w:pPr>
        <w:spacing w:after="40" w:line="276" w:lineRule="auto"/>
        <w:jc w:val="center"/>
      </w:pPr>
      <w:r>
        <w:rPr>
          <w:rFonts w:ascii="Times New Roman" w:hAnsi="Times New Roman" w:eastAsia="標楷體"/>
          <w:b w:val="0"/>
          <w:i w:val="0"/>
          <w:sz w:val="22"/>
        </w:rPr>
        <w:t>AOSWA 2026 投稿之中文詳細版　—　內部討論用，非投稿文本</w:t>
      </w:r>
    </w:p>
    <w:p>
      <w:pPr>
        <w:spacing w:after="240" w:line="276" w:lineRule="auto"/>
        <w:jc w:val="center"/>
      </w:pPr>
      <w:r>
        <w:rPr>
          <w:rFonts w:ascii="Times New Roman" w:hAnsi="Times New Roman" w:eastAsia="標楷體"/>
          <w:b w:val="0"/>
          <w:i/>
          <w:sz w:val="20"/>
        </w:rPr>
        <w:t>版本 2026-08-19　·　撰寫：SpaceWeather 專案　·　狀態：待同儕審閱</w:t>
      </w:r>
    </w:p>
    <w:p>
      <w:pPr>
        <w:spacing w:after="160" w:line="276" w:lineRule="auto" w:before="280"/>
        <w:jc w:val="left"/>
      </w:pPr>
      <w:r>
        <w:rPr>
          <w:rFonts w:ascii="Times New Roman" w:hAnsi="Times New Roman" w:eastAsia="標楷體"/>
          <w:b/>
          <w:i w:val="0"/>
          <w:sz w:val="30"/>
        </w:rPr>
        <w:t>一、這份文件要討論什麼</w:t>
      </w:r>
    </w:p>
    <w:p>
      <w:pPr>
        <w:spacing w:after="120" w:line="276" w:lineRule="auto"/>
        <w:jc w:val="both"/>
      </w:pPr>
      <w:r>
        <w:rPr>
          <w:rFonts w:ascii="Times New Roman" w:hAnsi="Times New Roman" w:eastAsia="標楷體"/>
          <w:b w:val="0"/>
          <w:i w:val="0"/>
          <w:sz w:val="24"/>
        </w:rPr>
        <w:t>本專案的軌道預報網域原本四條分級規則全部以 Kp／Ap 為門檻。那是地磁代理指標——地磁擾動強不等於熱氣層密度一定高，只是相關。本次工作以福衛七號精密定軌反演出實測的密度增強倍數，使該網域首次具備非代理的判定基礎，並據以檢驗既有代理判據的偏差。</w:t>
      </w:r>
    </w:p>
    <w:p>
      <w:pPr>
        <w:spacing w:after="160" w:line="276" w:lineRule="auto"/>
        <w:jc w:val="both"/>
      </w:pPr>
      <w:r>
        <w:rPr>
          <w:rFonts w:ascii="Times New Roman" w:hAnsi="Times New Roman" w:eastAsia="標楷體"/>
          <w:b w:val="0"/>
          <w:i w:val="0"/>
          <w:sz w:val="24"/>
        </w:rPr>
        <w:t>請同儕特別針對第五節（方法）與第八節（待確認事項）給意見。第七節列出本次工作中曾經算錯、後來如何發現與修正的三個地方——列出它們是為了讓審閱者能判斷結論的可信程度，不是為了自陳。</w:t>
      </w:r>
    </w:p>
    <w:p>
      <w:pPr>
        <w:spacing w:after="160" w:line="276" w:lineRule="auto" w:before="280"/>
        <w:jc w:val="left"/>
      </w:pPr>
      <w:r>
        <w:rPr>
          <w:rFonts w:ascii="Times New Roman" w:hAnsi="Times New Roman" w:eastAsia="標楷體"/>
          <w:b/>
          <w:i w:val="0"/>
          <w:sz w:val="30"/>
        </w:rPr>
        <w:t>二、系統概述</w:t>
      </w:r>
    </w:p>
    <w:p>
      <w:pPr>
        <w:spacing w:after="120" w:line="276" w:lineRule="auto"/>
        <w:jc w:val="both"/>
      </w:pPr>
      <w:r>
        <w:rPr>
          <w:rFonts w:ascii="Times New Roman" w:hAnsi="Times New Roman" w:eastAsia="標楷體"/>
          <w:b w:val="0"/>
          <w:i w:val="0"/>
          <w:sz w:val="24"/>
        </w:rPr>
        <w:t>系統是一個開源網頁應用，將太空天氣風險呈現為三個衝擊網域：短波通信（HF_COMM）、衛星定位（GNSS_PNT）、軌道預報（ORBIT_PREDICTION）。資料層採雙時間軸儲存，每筆記錄同時帶物理有效時刻（valid_time）與入庫時刻（ingest_time），因此歷史事件可以「當時已知的資料」重播，不會有前視偏差。</w:t>
      </w:r>
    </w:p>
    <w:p>
      <w:pPr>
        <w:spacing w:after="80" w:line="276" w:lineRule="auto"/>
        <w:jc w:val="both"/>
      </w:pPr>
      <w:r>
        <w:rPr>
          <w:rFonts w:ascii="Times New Roman" w:hAnsi="Times New Roman" w:eastAsia="標楷體"/>
          <w:b w:val="0"/>
          <w:i w:val="0"/>
          <w:sz w:val="24"/>
        </w:rPr>
        <w:t>兩個設計決定的影響大於視覺化本身：</w:t>
      </w:r>
    </w:p>
    <w:p>
      <w:pPr>
        <w:spacing w:after="60" w:line="276" w:lineRule="auto"/>
        <w:ind w:left="360"/>
        <w:jc w:val="both"/>
      </w:pPr>
      <w:r>
        <w:rPr>
          <w:rFonts w:ascii="Times New Roman" w:hAnsi="Times New Roman" w:eastAsia="標楷體"/>
          <w:b w:val="0"/>
          <w:i w:val="0"/>
          <w:sz w:val="24"/>
        </w:rPr>
        <w:t>・</w:t>
      </w:r>
      <w:r>
        <w:rPr>
          <w:rFonts w:ascii="Times New Roman" w:hAnsi="Times New Roman" w:eastAsia="標楷體"/>
          <w:b/>
          <w:i w:val="0"/>
          <w:sz w:val="24"/>
        </w:rPr>
        <w:t>三態而非兩態</w:t>
      </w:r>
      <w:r>
        <w:rPr>
          <w:rFonts w:ascii="Times New Roman" w:hAnsi="Times New Roman" w:eastAsia="標楷體"/>
          <w:b w:val="0"/>
          <w:i w:val="0"/>
          <w:sz w:val="24"/>
        </w:rPr>
        <w:t>：判據可能「已評估且未達門檻」「僅部分可評估」「完全無法評估」。把後兩者併入綠燈，等於把「沒有資料」呈現為「沒有危害」。</w:t>
      </w:r>
    </w:p>
    <w:p>
      <w:pPr>
        <w:spacing w:after="60" w:line="276" w:lineRule="auto"/>
        <w:ind w:left="360"/>
        <w:jc w:val="both"/>
      </w:pPr>
      <w:r>
        <w:rPr>
          <w:rFonts w:ascii="Times New Roman" w:hAnsi="Times New Roman" w:eastAsia="標楷體"/>
          <w:b w:val="0"/>
          <w:i w:val="0"/>
          <w:sz w:val="24"/>
        </w:rPr>
        <w:t>・</w:t>
      </w:r>
      <w:r>
        <w:rPr>
          <w:rFonts w:ascii="Times New Roman" w:hAnsi="Times New Roman" w:eastAsia="標楷體"/>
          <w:b/>
          <w:i w:val="0"/>
          <w:sz w:val="24"/>
        </w:rPr>
        <w:t>證據來源標記</w:t>
      </w:r>
      <w:r>
        <w:rPr>
          <w:rFonts w:ascii="Times New Roman" w:hAnsi="Times New Roman" w:eastAsia="標楷體"/>
          <w:b w:val="0"/>
          <w:i w:val="0"/>
          <w:sz w:val="24"/>
        </w:rPr>
        <w:t>：每個衍生量都帶 observed／modelled／proxy／unavailable，使用者看到的不只是等級，還有該等級的證據基礎。網域層級取其中最弱的一項。</w:t>
      </w:r>
    </w:p>
    <w:p>
      <w:pPr>
        <w:spacing w:after="120" w:line="276" w:lineRule="auto" w:before="200"/>
        <w:jc w:val="left"/>
      </w:pPr>
      <w:r>
        <w:rPr>
          <w:rFonts w:ascii="Times New Roman" w:hAnsi="Times New Roman" w:eastAsia="標楷體"/>
          <w:b/>
          <w:i w:val="0"/>
          <w:sz w:val="26"/>
        </w:rPr>
        <w:t>三網域的判據現況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016"/>
          </w:tcPr>
          <w:p>
            <w:r/>
            <w:r>
              <w:rPr>
                <w:rFonts w:ascii="Times New Roman" w:hAnsi="Times New Roman" w:eastAsia="標楷體"/>
                <w:b/>
                <w:i w:val="0"/>
                <w:sz w:val="21"/>
              </w:rPr>
              <w:t>網域</w:t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 w:eastAsia="標楷體"/>
                <w:b/>
                <w:i w:val="0"/>
                <w:sz w:val="21"/>
              </w:rPr>
              <w:t>實測判據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標楷體"/>
                <w:b/>
                <w:i w:val="0"/>
                <w:sz w:val="21"/>
              </w:rPr>
              <w:t>代理判據</w:t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 w:eastAsia="標楷體"/>
                <w:b/>
                <w:i w:val="0"/>
                <w:sz w:val="21"/>
              </w:rPr>
              <w:t>現況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HF_COMM</w:t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GOES X 射線、質子通量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判據齊備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GNSS_PNT</w:t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福衛七號掩星 S4、TEC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Kp、閃焰機率</w:t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L3 需 S4＋ROTI；只有 S4 時回報 partial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ORBIT_PREDICTION</w:t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DRAG_ENHANCEMENT（本次新增）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Kp、Ap</w:t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兩組並用：Kp 給前導，實測給量值</w:t>
            </w:r>
          </w:p>
        </w:tc>
      </w:tr>
    </w:tbl>
    <w:p>
      <w:pPr>
        <w:spacing w:after="80" w:line="276" w:lineRule="auto"/>
        <w:jc w:val="both"/>
      </w:pPr>
    </w:p>
    <w:p>
      <w:pPr>
        <w:spacing w:after="160" w:line="276" w:lineRule="auto"/>
        <w:jc w:val="both"/>
      </w:pPr>
      <w:r>
        <w:rPr>
          <w:rFonts w:ascii="Times New Roman" w:hAnsi="Times New Roman" w:eastAsia="標楷體"/>
          <w:b w:val="0"/>
          <w:i w:val="0"/>
          <w:sz w:val="22"/>
        </w:rPr>
        <w:t>partial 的語意是：已有的判據若超標仍會發報，但「沒有告警」不等於「已確認平靜」——缺少的那個判據可能單獨觸發。</w:t>
      </w:r>
    </w:p>
    <w:p>
      <w:pPr>
        <w:spacing w:after="160" w:line="276" w:lineRule="auto" w:before="280"/>
        <w:jc w:val="left"/>
      </w:pPr>
      <w:r>
        <w:rPr>
          <w:rFonts w:ascii="Times New Roman" w:hAnsi="Times New Roman" w:eastAsia="標楷體"/>
          <w:b/>
          <w:i w:val="0"/>
          <w:sz w:val="30"/>
        </w:rPr>
        <w:t>三、資料源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標楷體"/>
                <w:b/>
                <w:i w:val="0"/>
                <w:sz w:val="21"/>
              </w:rPr>
              <w:t>來源</w:t>
            </w:r>
          </w:p>
        </w:tc>
        <w:tc>
          <w:tcPr>
            <w:tcW w:type="dxa" w:w="3888"/>
          </w:tcPr>
          <w:p>
            <w:r/>
            <w:r>
              <w:rPr>
                <w:rFonts w:ascii="Times New Roman" w:hAnsi="Times New Roman" w:eastAsia="標楷體"/>
                <w:b/>
                <w:i w:val="0"/>
                <w:sz w:val="21"/>
              </w:rPr>
              <w:t>產品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標楷體"/>
                <w:b/>
                <w:i w:val="0"/>
                <w:sz w:val="21"/>
              </w:rPr>
              <w:t>本案用途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TACC / UCAR CDAAC</w:t>
            </w:r>
          </w:p>
        </w:tc>
        <w:tc>
          <w:tcPr>
            <w:tcW w:type="dxa" w:w="388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福衛七號 leoOrb 精密定軌（SP3-c，60 秒節奏）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反演阻力衰減率與密度增強倍數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TACC / UCAR CDAAC</w:t>
            </w:r>
          </w:p>
        </w:tc>
        <w:tc>
          <w:tcPr>
            <w:tcW w:type="dxa" w:w="388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福衛七號 scn1c2 掩星閃爍指數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GNSS 網域的 S4 實測判據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中央氣象署 SWOO</w:t>
            </w:r>
          </w:p>
        </w:tc>
        <w:tc>
          <w:tcPr>
            <w:tcW w:type="dxa" w:w="388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TWTEC、TWDI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區域 TEC 與地磁擾動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NOAA SWPC</w:t>
            </w:r>
          </w:p>
        </w:tc>
        <w:tc>
          <w:tcPr>
            <w:tcW w:type="dxa" w:w="388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X 射線、質子、Kp 預報、D-RAP 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HF 網域判據與預報基準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GFZ Potsdam</w:t>
            </w:r>
          </w:p>
        </w:tc>
        <w:tc>
          <w:tcPr>
            <w:tcW w:type="dxa" w:w="388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Kp／ap、Hp30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地磁指數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CelesTrak</w:t>
            </w:r>
          </w:p>
        </w:tc>
        <w:tc>
          <w:tcPr>
            <w:tcW w:type="dxa" w:w="388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太空天氣快照、地球定向參數（EOP）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F10.7／Ap 驅動、框架轉換</w:t>
            </w:r>
          </w:p>
        </w:tc>
      </w:tr>
    </w:tbl>
    <w:p>
      <w:pPr>
        <w:spacing w:after="80" w:line="276" w:lineRule="auto"/>
        <w:jc w:val="both"/>
      </w:pPr>
    </w:p>
    <w:p>
      <w:pPr>
        <w:spacing w:after="160" w:line="276" w:lineRule="auto"/>
        <w:jc w:val="both"/>
      </w:pPr>
      <w:r>
        <w:rPr>
          <w:rFonts w:ascii="Times New Roman" w:hAnsi="Times New Roman" w:eastAsia="標楷體"/>
          <w:b w:val="0"/>
          <w:i w:val="0"/>
          <w:sz w:val="22"/>
        </w:rPr>
        <w:t>福衛七號資料的正式取用條款確認，屬合作夥伴（成功大學團隊）之工作項目，預計於兩年期計畫內完成。目前所依據的 Release Memorandum （F7C2_SpWx_DataRelease_5.pdf）為技術性釋出說明，未見註冊要求或再散布限制；引用時須標註 TACC 與 UCAR CDAAC。</w:t>
      </w:r>
    </w:p>
    <w:p>
      <w:pPr>
        <w:spacing w:after="160" w:line="276" w:lineRule="auto" w:before="280"/>
        <w:jc w:val="left"/>
      </w:pPr>
      <w:r>
        <w:rPr>
          <w:rFonts w:ascii="Times New Roman" w:hAnsi="Times New Roman" w:eastAsia="標楷體"/>
          <w:b/>
          <w:i w:val="0"/>
          <w:sz w:val="30"/>
        </w:rPr>
        <w:t>四、為何非用精密定軌不可：TLE 走不通</w:t>
      </w:r>
    </w:p>
    <w:p>
      <w:pPr>
        <w:spacing w:after="120" w:line="276" w:lineRule="auto"/>
        <w:jc w:val="both"/>
      </w:pPr>
      <w:r>
        <w:rPr>
          <w:rFonts w:ascii="Times New Roman" w:hAnsi="Times New Roman" w:eastAsia="標楷體"/>
          <w:b w:val="0"/>
          <w:i w:val="0"/>
          <w:sz w:val="24"/>
        </w:rPr>
        <w:t>同樣的量測先以 TLE 做過，失敗。本專案既有的 drag_residual() 以中位數回歸自校準等效彈道係數（B_eff = median(−Δa／s)），實跑庫內六顆福衛七號 2024-01-01 至 2026-08-16 的 TLE：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608"/>
          </w:tcPr>
          <w:p>
            <w:r/>
            <w:r>
              <w:rPr>
                <w:rFonts w:ascii="Times New Roman" w:hAnsi="Times New Roman" w:eastAsia="標楷體"/>
                <w:b/>
                <w:i w:val="0"/>
                <w:sz w:val="21"/>
              </w:rPr>
              <w:t>項目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 w:eastAsia="標楷體"/>
                <w:b/>
                <w:i w:val="0"/>
                <w:sz w:val="21"/>
              </w:rPr>
              <w:t>結果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每日阻力衰減預期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約 40 公尺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TLE 半長軸逐日殘差 RMS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約 450–680 公尺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訊噪比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約 0.07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六顆同型同軌道衛星的 B_eff 差異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30%（真實差異不可能這麼大）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B_eff 逐年變化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2024→2026 接近翻倍，方向與推進劑消耗應造成的相反</w:t>
            </w:r>
          </w:p>
        </w:tc>
      </w:tr>
    </w:tbl>
    <w:p>
      <w:pPr>
        <w:spacing w:after="80" w:line="276" w:lineRule="auto"/>
        <w:jc w:val="both"/>
      </w:pPr>
    </w:p>
    <w:p>
      <w:pPr>
        <w:spacing w:after="120" w:line="276" w:lineRule="auto"/>
        <w:jc w:val="both"/>
      </w:pPr>
      <w:r>
        <w:rPr>
          <w:rFonts w:ascii="Times New Roman" w:hAnsi="Times New Roman" w:eastAsia="標楷體"/>
          <w:b w:val="0"/>
          <w:i w:val="0"/>
          <w:sz w:val="24"/>
        </w:rPr>
        <w:t>最後一列是關鍵：B_eff 若隨推進劑消耗變化，質量減少應使其下降，實測方向相反。這代表 B_eff 吸收的是經驗模式隨太陽活動漂移的偏差。把它再拿去反演密度，得到的是模式尺度的密度——循環論證。</w:t>
      </w:r>
    </w:p>
    <w:p>
      <w:pPr>
        <w:spacing w:after="160" w:line="276" w:lineRule="auto"/>
        <w:jc w:val="both"/>
      </w:pPr>
      <w:r>
        <w:rPr>
          <w:rFonts w:ascii="Times New Roman" w:hAnsi="Times New Roman" w:eastAsia="標楷體"/>
          <w:b w:val="0"/>
          <w:i w:val="0"/>
          <w:sz w:val="24"/>
        </w:rPr>
        <w:t>leoOrb 的弧段重疊一致性實測為 3D RMS 0.25 公尺（徑向 0.15、沿跡 0.17、法向 0.08），平滑後的估計雜訊約 5 公尺。問題不在方法，在輸入資料的精度。</w:t>
      </w:r>
    </w:p>
    <w:p>
      <w:pPr>
        <w:spacing w:after="160" w:line="276" w:lineRule="auto" w:before="280"/>
        <w:jc w:val="left"/>
      </w:pPr>
      <w:r>
        <w:rPr>
          <w:rFonts w:ascii="Times New Roman" w:hAnsi="Times New Roman" w:eastAsia="標楷體"/>
          <w:b/>
          <w:i w:val="0"/>
          <w:sz w:val="30"/>
        </w:rPr>
        <w:t>五、方法</w:t>
      </w:r>
    </w:p>
    <w:p>
      <w:pPr>
        <w:spacing w:after="120" w:line="276" w:lineRule="auto" w:before="200"/>
        <w:jc w:val="left"/>
      </w:pPr>
      <w:r>
        <w:rPr>
          <w:rFonts w:ascii="Times New Roman" w:hAnsi="Times New Roman" w:eastAsia="標楷體"/>
          <w:b/>
          <w:i w:val="0"/>
          <w:sz w:val="26"/>
        </w:rPr>
        <w:t>5.1　彈道係數為何會消掉</w:t>
      </w:r>
    </w:p>
    <w:p>
      <w:pPr>
        <w:spacing w:after="120" w:line="276" w:lineRule="auto"/>
        <w:jc w:val="both"/>
      </w:pPr>
      <w:r>
        <w:rPr>
          <w:rFonts w:ascii="Times New Roman" w:hAnsi="Times New Roman" w:eastAsia="標楷體"/>
          <w:b w:val="0"/>
          <w:i w:val="0"/>
          <w:sz w:val="24"/>
        </w:rPr>
        <w:t>近圓軌道的長期衰減為 da/dt = −B · ρ · sqrt(μa)，其中 B = Cd·A/m。福衛七號的投影面積、阻力係數與乾重皆未公開（且太陽能板為可調傾角，僅憑姿態四元數也算不出投影面積），故無法解出絕對密度。但取同一顆衛星兩個時段的比值時 B 完全消掉：</w:t>
      </w:r>
    </w:p>
    <w:p>
      <w:pPr>
        <w:spacing w:after="120" w:line="276" w:lineRule="auto"/>
        <w:jc w:val="center"/>
      </w:pPr>
      <w:r>
        <w:rPr>
          <w:rFonts w:ascii="Times New Roman" w:hAnsi="Times New Roman" w:eastAsia="標楷體"/>
          <w:b/>
          <w:i w:val="0"/>
          <w:sz w:val="24"/>
        </w:rPr>
        <w:t>ρ_now ／ ρ_quiet ＝ (da/dt)_now ／ (da/dt)_quiet</w:t>
      </w:r>
    </w:p>
    <w:p>
      <w:pPr>
        <w:spacing w:after="160" w:line="276" w:lineRule="auto"/>
        <w:jc w:val="both"/>
      </w:pPr>
      <w:r>
        <w:rPr>
          <w:rFonts w:ascii="Times New Roman" w:hAnsi="Times New Roman" w:eastAsia="標楷體"/>
          <w:b w:val="0"/>
          <w:i w:val="0"/>
          <w:sz w:val="24"/>
        </w:rPr>
        <w:t>分子分母皆為觀測量，因此不需要任何非公開的衛星參數，也不繼承經驗模式在暴時的偏差。這是本參數能宣稱 inference = observed 的依據。</w:t>
      </w:r>
    </w:p>
    <w:p>
      <w:pPr>
        <w:spacing w:after="120" w:line="276" w:lineRule="auto" w:before="200"/>
        <w:jc w:val="left"/>
      </w:pPr>
      <w:r>
        <w:rPr>
          <w:rFonts w:ascii="Times New Roman" w:hAnsi="Times New Roman" w:eastAsia="標楷體"/>
          <w:b/>
          <w:i w:val="0"/>
          <w:sz w:val="26"/>
        </w:rPr>
        <w:t>5.2　條件一：平均窗必須是軌道週期的整數倍</w:t>
      </w:r>
    </w:p>
    <w:p>
      <w:pPr>
        <w:spacing w:after="160" w:line="276" w:lineRule="auto"/>
        <w:jc w:val="both"/>
      </w:pPr>
      <w:r>
        <w:rPr>
          <w:rFonts w:ascii="Times New Roman" w:hAnsi="Times New Roman" w:eastAsia="標楷體"/>
          <w:b w:val="0"/>
          <w:i w:val="0"/>
          <w:sz w:val="24"/>
        </w:rPr>
        <w:t>密切半長軸的短週期振幅達 1.7 公里，遠大於每日數十公尺的衰減。若以 6 小時或日曆日取平均，短週期會混疊成假的長期趨勢。本案以軌道週期（約 96.31 分鐘）為窗做中心移動平均，實測可把逐點變異由 1118 公尺壓到 13 公尺，抑制約 85 倍。</w:t>
      </w:r>
    </w:p>
    <w:p>
      <w:pPr>
        <w:spacing w:after="120" w:line="276" w:lineRule="auto" w:before="200"/>
        <w:jc w:val="left"/>
      </w:pPr>
      <w:r>
        <w:rPr>
          <w:rFonts w:ascii="Times New Roman" w:hAnsi="Times New Roman" w:eastAsia="標楷體"/>
          <w:b/>
          <w:i w:val="0"/>
          <w:sz w:val="26"/>
        </w:rPr>
        <w:t>5.3　條件二：基線必須先扣掉太陽通量</w:t>
      </w:r>
    </w:p>
    <w:p>
      <w:pPr>
        <w:spacing w:after="120" w:line="276" w:lineRule="auto"/>
        <w:jc w:val="both"/>
      </w:pPr>
      <w:r>
        <w:rPr>
          <w:rFonts w:ascii="Times New Roman" w:hAnsi="Times New Roman" w:eastAsia="標楷體"/>
          <w:b w:val="0"/>
          <w:i w:val="0"/>
          <w:sz w:val="24"/>
        </w:rPr>
        <w:t>衰減率是絕對速率，基線隨太陽週期變動極大：實測 2024-05 平靜期約 59 m/日，2026-08 僅約 7.7 m/日，相差近八倍。而測試窗（2024-04-29 至 05-19）內 F10.7 由 132 漲到 238，衰減率隨之由 40 漲到 55 m/日。</w:t>
      </w:r>
    </w:p>
    <w:p>
      <w:pPr>
        <w:spacing w:after="120" w:line="276" w:lineRule="auto"/>
        <w:jc w:val="both"/>
      </w:pPr>
      <w:r>
        <w:rPr>
          <w:rFonts w:ascii="Times New Roman" w:hAnsi="Times New Roman" w:eastAsia="標楷體"/>
          <w:b w:val="0"/>
          <w:i w:val="0"/>
          <w:sz w:val="24"/>
        </w:rPr>
        <w:t>初版以滾動分位數當基線，結果平靜期的「增強倍數」是 1.4–1.65 而非 1.0，L1 持續誤觸發——太陽驅動被算成了地磁事件效應。改為以地磁寧靜的分箱（Kp &lt; 4）擬合 log(衰減率) ～ a + b·F10.7，再以該式預測「同一 F10.7、地磁寧靜」應有的衰減率，觀測值除以它即為地磁造成的增強。</w:t>
      </w:r>
    </w:p>
    <w:p>
      <w:pPr>
        <w:spacing w:after="160" w:line="276" w:lineRule="auto"/>
        <w:jc w:val="both"/>
      </w:pPr>
      <w:r>
        <w:rPr>
          <w:rFonts w:ascii="Times New Roman" w:hAnsi="Times New Roman" w:eastAsia="標楷體"/>
          <w:b w:val="0"/>
          <w:i w:val="0"/>
          <w:sz w:val="24"/>
        </w:rPr>
        <w:t>擬合結果 b ≈ 0.0058，即 F10.7 每增加 100 sfu 密度約 ×1.78，物理合理。衰減率、F10.7、Kp 皆為觀測量，故此步驟不引入模式。</w:t>
      </w:r>
    </w:p>
    <w:p>
      <w:pPr>
        <w:spacing w:after="120" w:line="276" w:lineRule="auto" w:before="200"/>
        <w:jc w:val="left"/>
      </w:pPr>
      <w:r>
        <w:rPr>
          <w:rFonts w:ascii="Times New Roman" w:hAnsi="Times New Roman" w:eastAsia="標楷體"/>
          <w:b/>
          <w:i w:val="0"/>
          <w:sz w:val="26"/>
        </w:rPr>
        <w:t>5.4　跨衛星彙整與機動處理</w:t>
      </w:r>
    </w:p>
    <w:p>
      <w:pPr>
        <w:spacing w:after="160" w:line="276" w:lineRule="auto"/>
        <w:jc w:val="both"/>
      </w:pPr>
      <w:r>
        <w:rPr>
          <w:rFonts w:ascii="Times New Roman" w:hAnsi="Times New Roman" w:eastAsia="標楷體"/>
          <w:b w:val="0"/>
          <w:i w:val="0"/>
          <w:sz w:val="24"/>
        </w:rPr>
        <w:t>五至六顆同型、同軌道面的衛星在同一時刻承受同一組大氣，真實密度變化必為共模；單顆的機動則是離群值。因此</w:t>
      </w:r>
      <w:r>
        <w:rPr>
          <w:rFonts w:ascii="Times New Roman" w:hAnsi="Times New Roman" w:eastAsia="標楷體"/>
          <w:b/>
          <w:i w:val="0"/>
          <w:sz w:val="24"/>
        </w:rPr>
        <w:t>取值用中位數（對離群穩健）、偵測用標準差（對離群敏感）</w:t>
      </w:r>
      <w:r>
        <w:rPr>
          <w:rFonts w:ascii="Times New Roman" w:hAnsi="Times New Roman" w:eastAsia="標楷體"/>
          <w:b w:val="0"/>
          <w:i w:val="0"/>
          <w:sz w:val="24"/>
        </w:rPr>
        <w:t>——兩者的要求相反。離散度超過 0.25 時標 suspect 而非丟棄。</w:t>
      </w:r>
    </w:p>
    <w:p>
      <w:pPr>
        <w:spacing w:after="160" w:line="276" w:lineRule="auto" w:before="280"/>
        <w:jc w:val="left"/>
      </w:pPr>
      <w:r>
        <w:rPr>
          <w:rFonts w:ascii="Times New Roman" w:hAnsi="Times New Roman" w:eastAsia="標楷體"/>
          <w:b/>
          <w:i w:val="0"/>
          <w:sz w:val="30"/>
        </w:rPr>
        <w:t>六、結果</w:t>
      </w:r>
    </w:p>
    <w:p>
      <w:pPr>
        <w:spacing w:after="120" w:line="276" w:lineRule="auto" w:before="200"/>
        <w:jc w:val="left"/>
      </w:pPr>
      <w:r>
        <w:rPr>
          <w:rFonts w:ascii="Times New Roman" w:hAnsi="Times New Roman" w:eastAsia="標楷體"/>
          <w:b/>
          <w:i w:val="0"/>
          <w:sz w:val="26"/>
        </w:rPr>
        <w:t>6.1　2024-05 Gannon 事件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304"/>
          </w:tcPr>
          <w:p>
            <w:r/>
            <w:r>
              <w:rPr>
                <w:rFonts w:ascii="Times New Roman" w:hAnsi="Times New Roman" w:eastAsia="標楷體"/>
                <w:b/>
                <w:i w:val="0"/>
                <w:sz w:val="21"/>
              </w:rPr>
              <w:t>時間（UT）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標楷體"/>
                <w:b/>
                <w:i w:val="0"/>
                <w:sz w:val="21"/>
              </w:rPr>
              <w:t>衰減率 m/日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 w:eastAsia="標楷體"/>
                <w:b/>
                <w:i w:val="0"/>
                <w:sz w:val="21"/>
              </w:rPr>
              <w:t>增強倍數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 w:eastAsia="標楷體"/>
                <w:b/>
                <w:i w:val="0"/>
                <w:sz w:val="21"/>
              </w:rPr>
              <w:t>備註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5/8–5/10 12:00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約 59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0.91–1.13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暴前基線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5/10 18:00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93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1.33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SSC 約 17:05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5/11 00:00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215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3.30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5/11 06:00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266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4.01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峰值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5/11 12:00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224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3.53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5/11 18:00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155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2.34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5/12 06:00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74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1.07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恢復</w:t>
            </w:r>
          </w:p>
        </w:tc>
      </w:tr>
    </w:tbl>
    <w:p>
      <w:pPr>
        <w:spacing w:after="80" w:line="276" w:lineRule="auto"/>
        <w:jc w:val="both"/>
      </w:pPr>
    </w:p>
    <w:p>
      <w:pPr>
        <w:spacing w:after="160" w:line="276" w:lineRule="auto"/>
        <w:jc w:val="both"/>
      </w:pPr>
      <w:r>
        <w:rPr>
          <w:rFonts w:ascii="Times New Roman" w:hAnsi="Times New Roman" w:eastAsia="標楷體"/>
          <w:b w:val="0"/>
          <w:i w:val="0"/>
          <w:sz w:val="22"/>
        </w:rPr>
        <w:t>六顆衛星在峰值的離散度僅約 10%，非雜訊。相對照的是：同一窗的平靜週（2026-08）五顆殘差相關係數接近零、90% 變異為個別雜訊——平靜期看不到共模訊號是預期的，不能據以否定方法。</w:t>
      </w:r>
    </w:p>
    <w:p>
      <w:pPr>
        <w:spacing w:after="120" w:line="276" w:lineRule="auto" w:before="200"/>
        <w:jc w:val="left"/>
      </w:pPr>
      <w:r>
        <w:rPr>
          <w:rFonts w:ascii="Times New Roman" w:hAnsi="Times New Roman" w:eastAsia="標楷體"/>
          <w:b/>
          <w:i w:val="0"/>
          <w:sz w:val="26"/>
        </w:rPr>
        <w:t>6.2　與經驗模式的比較：暴時響應被壓縮</w:t>
      </w:r>
    </w:p>
    <w:p>
      <w:pPr>
        <w:spacing w:after="120" w:line="276" w:lineRule="auto"/>
        <w:jc w:val="both"/>
      </w:pPr>
      <w:r>
        <w:rPr>
          <w:rFonts w:ascii="Times New Roman" w:hAnsi="Times New Roman" w:eastAsia="標楷體"/>
          <w:b w:val="0"/>
          <w:i w:val="0"/>
          <w:sz w:val="24"/>
        </w:rPr>
        <w:t>以 MSIS 2.1 沿同一軌跡計算「同一 F10.7、地磁寧靜」為基準的 storm_ratio，與觀測增強倍數相除：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標楷體"/>
                <w:b/>
                <w:i w:val="0"/>
                <w:sz w:val="21"/>
              </w:rPr>
              <w:t>觀測增強倍數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標楷體"/>
                <w:b/>
                <w:i w:val="0"/>
                <w:sz w:val="21"/>
              </w:rPr>
              <w:t>樣本數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標楷體"/>
                <w:b/>
                <w:i w:val="0"/>
                <w:sz w:val="21"/>
              </w:rPr>
              <w:t>觀測中位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標楷體"/>
                <w:b/>
                <w:i w:val="0"/>
                <w:sz w:val="21"/>
              </w:rPr>
              <w:t>模式中位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 w:eastAsia="標楷體"/>
                <w:b/>
                <w:i w:val="0"/>
                <w:sz w:val="21"/>
              </w:rPr>
              <w:t>觀測／模式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&lt; 1.5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72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1.01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1.09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0.85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1.5 – 2.5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1.80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1.21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1.40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2.5 – 3.5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3.30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2.52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1.31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≥ 3.5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3.77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2.30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1.70</w:t>
            </w:r>
          </w:p>
        </w:tc>
      </w:tr>
    </w:tbl>
    <w:p>
      <w:pPr>
        <w:spacing w:after="80" w:line="276" w:lineRule="auto"/>
        <w:jc w:val="both"/>
      </w:pPr>
    </w:p>
    <w:p>
      <w:pPr>
        <w:spacing w:after="120" w:line="276" w:lineRule="auto"/>
        <w:jc w:val="both"/>
      </w:pPr>
      <w:r>
        <w:rPr>
          <w:rFonts w:ascii="Times New Roman" w:hAnsi="Times New Roman" w:eastAsia="標楷體"/>
          <w:b w:val="0"/>
          <w:i w:val="0"/>
          <w:sz w:val="24"/>
        </w:rPr>
        <w:t>即模式的暴時響應被壓縮：平靜時略微高估，實際增強愈大就愈低估。</w:t>
      </w:r>
    </w:p>
    <w:p>
      <w:pPr>
        <w:spacing w:after="160" w:line="276" w:lineRule="auto"/>
        <w:jc w:val="both"/>
      </w:pPr>
      <w:r>
        <w:rPr>
          <w:rFonts w:ascii="Times New Roman" w:hAnsi="Times New Roman" w:eastAsia="標楷體"/>
          <w:b/>
          <w:i w:val="0"/>
          <w:sz w:val="24"/>
        </w:rPr>
        <w:t>能宣稱的是趨勢，不是絕對量。</w:t>
      </w:r>
      <w:r>
        <w:rPr>
          <w:rFonts w:ascii="Times New Roman" w:hAnsi="Times New Roman" w:eastAsia="標楷體"/>
          <w:b w:val="0"/>
          <w:i w:val="0"/>
          <w:sz w:val="24"/>
        </w:rPr>
        <w:t xml:space="preserve"> 觀測側的 F10.7 迴歸基線與模式側的 storm_ratio 之間可能存在常數偏移，該偏移會平移整欄比值。但比值隨增強倍數單調上升這件事對常數偏移免疫，故「響應被壓縮」成立，而「平靜時高估 15%」不可單獨引用。</w:t>
      </w:r>
    </w:p>
    <w:p>
      <w:pPr>
        <w:spacing w:after="120" w:line="276" w:lineRule="auto" w:before="200"/>
        <w:jc w:val="left"/>
      </w:pPr>
      <w:r>
        <w:rPr>
          <w:rFonts w:ascii="Times New Roman" w:hAnsi="Times New Roman" w:eastAsia="標楷體"/>
          <w:b/>
          <w:i w:val="0"/>
          <w:sz w:val="26"/>
        </w:rPr>
        <w:t>6.3　密度響應對 Kp 高度非線性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448"/>
          </w:tcPr>
          <w:p>
            <w:r/>
            <w:r>
              <w:rPr>
                <w:rFonts w:ascii="Times New Roman" w:hAnsi="Times New Roman" w:eastAsia="標楷體"/>
                <w:b/>
                <w:i w:val="0"/>
                <w:sz w:val="21"/>
              </w:rPr>
              <w:t>Kp 區間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標楷體"/>
                <w:b/>
                <w:i w:val="0"/>
                <w:sz w:val="21"/>
              </w:rPr>
              <w:t>樣本數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 w:eastAsia="標楷體"/>
                <w:b/>
                <w:i w:val="0"/>
                <w:sz w:val="21"/>
              </w:rPr>
              <w:t>增強倍數中位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標楷體"/>
                <w:b/>
                <w:i w:val="0"/>
                <w:sz w:val="21"/>
              </w:rPr>
              <w:t>最大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&lt; 4（寧靜）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61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1.01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1.98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4 – 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7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1.10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1.97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5 – 6（G1–G2）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2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1.21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1.50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6 – 7（G2–G3）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6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1.19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1.49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≥ 7（G3 以上）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7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2.34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4.01</w:t>
            </w:r>
          </w:p>
        </w:tc>
      </w:tr>
    </w:tbl>
    <w:p>
      <w:pPr>
        <w:spacing w:after="80" w:line="276" w:lineRule="auto"/>
        <w:jc w:val="both"/>
      </w:pPr>
    </w:p>
    <w:p>
      <w:pPr>
        <w:spacing w:after="160" w:line="276" w:lineRule="auto"/>
        <w:jc w:val="both"/>
      </w:pPr>
      <w:r>
        <w:rPr>
          <w:rFonts w:ascii="Times New Roman" w:hAnsi="Times New Roman" w:eastAsia="標楷體"/>
          <w:b w:val="0"/>
          <w:i w:val="0"/>
          <w:sz w:val="24"/>
        </w:rPr>
        <w:t>Kp 6–7 幾乎不推升 550 公里的密度。同一 21 天窗內，Kp 組規則觸發 15 次、實測組僅 4 次且全落在 Gannon——</w:t>
      </w:r>
      <w:r>
        <w:rPr>
          <w:rFonts w:ascii="Times New Roman" w:hAnsi="Times New Roman" w:eastAsia="標楷體"/>
          <w:b/>
          <w:i w:val="0"/>
          <w:sz w:val="24"/>
        </w:rPr>
        <w:t>Kp 代理在中等擾動時明顯過度告警</w:t>
      </w:r>
      <w:r>
        <w:rPr>
          <w:rFonts w:ascii="Times New Roman" w:hAnsi="Times New Roman" w:eastAsia="標楷體"/>
          <w:b w:val="0"/>
          <w:i w:val="0"/>
          <w:sz w:val="24"/>
        </w:rPr>
        <w:t>。這是實測判據存在的直接理由，也是本次工作最可能引起討論的一點。</w:t>
      </w:r>
    </w:p>
    <w:p>
      <w:pPr>
        <w:spacing w:after="120" w:line="276" w:lineRule="auto" w:before="200"/>
        <w:jc w:val="left"/>
      </w:pPr>
      <w:r>
        <w:rPr>
          <w:rFonts w:ascii="Times New Roman" w:hAnsi="Times New Roman" w:eastAsia="標楷體"/>
          <w:b/>
          <w:i w:val="0"/>
          <w:sz w:val="26"/>
        </w:rPr>
        <w:t>6.4　門檻標定</w:t>
      </w:r>
    </w:p>
    <w:p>
      <w:pPr>
        <w:spacing w:after="120" w:line="276" w:lineRule="auto"/>
        <w:jc w:val="both"/>
      </w:pPr>
      <w:r>
        <w:rPr>
          <w:rFonts w:ascii="Times New Roman" w:hAnsi="Times New Roman" w:eastAsia="標楷體"/>
          <w:b w:val="0"/>
          <w:i w:val="0"/>
          <w:sz w:val="24"/>
        </w:rPr>
        <w:t>以該窗 83 個 6 小時分箱中的 65 個地磁寧靜箱標定：中位 1.01、P90 1.42、P95 1.60、P98 1.77、最大 1.98。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296"/>
          </w:tcPr>
          <w:p>
            <w:r/>
            <w:r>
              <w:rPr>
                <w:rFonts w:ascii="Times New Roman" w:hAnsi="Times New Roman" w:eastAsia="標楷體"/>
                <w:b/>
                <w:i w:val="0"/>
                <w:sz w:val="21"/>
              </w:rPr>
              <w:t>等級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 w:eastAsia="標楷體"/>
                <w:b/>
                <w:i w:val="0"/>
                <w:sz w:val="21"/>
              </w:rPr>
              <w:t>門檻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標楷體"/>
                <w:b/>
                <w:i w:val="0"/>
                <w:sz w:val="21"/>
              </w:rPr>
              <w:t>駐留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標楷體"/>
                <w:b/>
                <w:i w:val="0"/>
                <w:sz w:val="21"/>
              </w:rPr>
              <w:t>遲滯解除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 w:eastAsia="標楷體"/>
                <w:b/>
                <w:i w:val="0"/>
                <w:sz w:val="21"/>
              </w:rPr>
              <w:t>Gannon 是否觸發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L1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≥ 2.0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連續 2 箱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&lt; 1.6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是（連續 3 箱）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L2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≥ 2.5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&lt; 2.0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是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L3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≥ 3.2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&lt; 2.6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是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L4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≥ 4.0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&lt; 3.0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是（峰值 4.01）</w:t>
            </w:r>
          </w:p>
        </w:tc>
      </w:tr>
    </w:tbl>
    <w:p>
      <w:pPr>
        <w:spacing w:after="80" w:line="276" w:lineRule="auto"/>
        <w:jc w:val="both"/>
      </w:pPr>
    </w:p>
    <w:p>
      <w:pPr>
        <w:spacing w:after="160" w:line="276" w:lineRule="auto"/>
        <w:jc w:val="both"/>
      </w:pPr>
      <w:r>
        <w:rPr>
          <w:rFonts w:ascii="Times New Roman" w:hAnsi="Times New Roman" w:eastAsia="標楷體"/>
          <w:b w:val="0"/>
          <w:i w:val="0"/>
          <w:sz w:val="22"/>
        </w:rPr>
        <w:t>L1 取 2.0 恰在寧靜期實測最大值之上，該窗內單箱與連續兩箱的誤報皆為 0。另加駐留條件是因為雜訊不相關而暴期會持續，這比單純調高門檻更能保住靈敏度。calibrated 維持 false。</w:t>
      </w:r>
    </w:p>
    <w:p>
      <w:pPr>
        <w:spacing w:after="120" w:line="276" w:lineRule="auto" w:before="200"/>
        <w:jc w:val="left"/>
      </w:pPr>
      <w:r>
        <w:rPr>
          <w:rFonts w:ascii="Times New Roman" w:hAnsi="Times New Roman" w:eastAsia="標楷體"/>
          <w:b/>
          <w:i w:val="0"/>
          <w:sz w:val="26"/>
        </w:rPr>
        <w:t>6.5　附帶成果：TLE 誤差評估</w:t>
      </w:r>
    </w:p>
    <w:p>
      <w:pPr>
        <w:spacing w:after="160" w:line="276" w:lineRule="auto"/>
        <w:jc w:val="both"/>
      </w:pPr>
      <w:r>
        <w:rPr>
          <w:rFonts w:ascii="Times New Roman" w:hAnsi="Times New Roman" w:eastAsia="標楷體"/>
          <w:b w:val="0"/>
          <w:i w:val="0"/>
          <w:sz w:val="24"/>
        </w:rPr>
        <w:t>同一份精密定軌可作為 TLE 誤差的真值參考。以 5 顆衛星、7 天、9,923 個比對點測得（550 km、傾角 24 度）：徑向 RMS 0.142 km、沿跡 0.731 km、法向 0.170 km。誤差以沿跡為主且僅沿跡明顯隨 TLE 齡期成長（0–3 h 為 0.43 km，24–48 h 為 1.46 km）。此結果已另撰文件提供Sat_TraingDataExtension 專案，用於取代該案目前假設的協方差。</w:t>
      </w:r>
    </w:p>
    <w:p>
      <w:pPr>
        <w:spacing w:after="160" w:line="276" w:lineRule="auto" w:before="280"/>
        <w:jc w:val="left"/>
      </w:pPr>
      <w:r>
        <w:rPr>
          <w:rFonts w:ascii="Times New Roman" w:hAnsi="Times New Roman" w:eastAsia="標楷體"/>
          <w:b/>
          <w:i w:val="0"/>
          <w:sz w:val="30"/>
        </w:rPr>
        <w:t>七、本次工作中已發現並修正的錯誤</w:t>
      </w:r>
    </w:p>
    <w:p>
      <w:pPr>
        <w:spacing w:after="80" w:line="276" w:lineRule="auto"/>
        <w:jc w:val="both"/>
      </w:pPr>
      <w:r>
        <w:rPr>
          <w:rFonts w:ascii="Times New Roman" w:hAnsi="Times New Roman" w:eastAsia="標楷體"/>
          <w:b w:val="0"/>
          <w:i w:val="0"/>
          <w:sz w:val="24"/>
        </w:rPr>
        <w:t>列出這些是為了讓審閱者判斷結論的可信程度。三個都不是筆誤，而是會改變結論的實質錯誤。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標楷體"/>
                <w:b/>
                <w:i w:val="0"/>
                <w:sz w:val="21"/>
              </w:rPr>
              <w:t>曾經的錯誤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 w:eastAsia="標楷體"/>
                <w:b/>
                <w:i w:val="0"/>
                <w:sz w:val="21"/>
              </w:rPr>
              <w:t>如何發現</w:t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 w:eastAsia="標楷體"/>
                <w:b/>
                <w:i w:val="0"/>
                <w:sz w:val="21"/>
              </w:rPr>
              <w:t>修正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以 6 小時重取樣算出衰減 39 m/日、訊噪比 150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改以軌道週期為窗重算後得 7.7 m/日；與 da/dt = −B·ρ·v·a 的理論值約 6 m/日 相符</w:t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確立平均窗須為軌道週期整數倍；理論值成為驗收依據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判定某顆衛星「七天內無機動跡象」（已寫入交付文件）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同樣是混疊所致。正確平滑後該星半長軸在 6 小時內上升 24 公尺，其餘四顆持續衰減</w:t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更正交付文件；該次機動也解釋了該星沿跡 TLE 誤差為其餘四顆兩倍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以中位數絕對偏差（MAD）當跨衛星離散度指標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自撰測試失敗。n 只有五、六顆時，除非過半衛星偏離否則 MAD 恆為零</w:t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改為取值用中位數、偵測用標準差；正好偵測不到單顆機動是最需要偵測的情形</w:t>
            </w:r>
          </w:p>
        </w:tc>
      </w:tr>
    </w:tbl>
    <w:p>
      <w:pPr>
        <w:spacing w:after="80" w:line="276" w:lineRule="auto"/>
        <w:jc w:val="both"/>
      </w:pPr>
    </w:p>
    <w:p>
      <w:pPr>
        <w:spacing w:after="160" w:line="276" w:lineRule="auto"/>
        <w:jc w:val="both"/>
      </w:pPr>
      <w:r>
        <w:rPr>
          <w:rFonts w:ascii="Times New Roman" w:hAnsi="Times New Roman" w:eastAsia="標楷體"/>
          <w:b w:val="0"/>
          <w:i w:val="0"/>
          <w:sz w:val="22"/>
        </w:rPr>
        <w:t>此外，「以滾動分位數當基線」的錯誤（第 5.3 節）之所以被抓到，是因為本專案 orbit_drag.density_ratio 的註解早已載明該陷阱：「基準二：同一 F10.7、地磁寧靜……否則會把太陽週期當成事件效應」。</w:t>
      </w:r>
    </w:p>
    <w:p>
      <w:pPr>
        <w:spacing w:after="160" w:line="276" w:lineRule="auto" w:before="280"/>
        <w:jc w:val="left"/>
      </w:pPr>
      <w:r>
        <w:rPr>
          <w:rFonts w:ascii="Times New Roman" w:hAnsi="Times New Roman" w:eastAsia="標楷體"/>
          <w:b/>
          <w:i w:val="0"/>
          <w:sz w:val="30"/>
        </w:rPr>
        <w:t>八、待確認事項（請同儕優先給意見）</w:t>
      </w:r>
    </w:p>
    <w:p>
      <w:pPr>
        <w:spacing w:after="60" w:line="276" w:lineRule="auto"/>
        <w:ind w:left="360"/>
        <w:jc w:val="both"/>
      </w:pPr>
      <w:r>
        <w:rPr>
          <w:rFonts w:ascii="Times New Roman" w:hAnsi="Times New Roman" w:eastAsia="標楷體"/>
          <w:b w:val="0"/>
          <w:i w:val="0"/>
          <w:sz w:val="24"/>
        </w:rPr>
        <w:t>・</w:t>
      </w:r>
      <w:r>
        <w:rPr>
          <w:rFonts w:ascii="Times New Roman" w:hAnsi="Times New Roman" w:eastAsia="標楷體"/>
          <w:b/>
          <w:i w:val="0"/>
          <w:sz w:val="24"/>
        </w:rPr>
        <w:t>門檻標定的樣本太薄</w:t>
      </w:r>
      <w:r>
        <w:rPr>
          <w:rFonts w:ascii="Times New Roman" w:hAnsi="Times New Roman" w:eastAsia="標楷體"/>
          <w:b w:val="0"/>
          <w:i w:val="0"/>
          <w:sz w:val="24"/>
        </w:rPr>
        <w:t>。僅一個 21 天窗、65 個地磁寧靜樣本，且寧靜期最大值 1.98 幾乎貼著 L1 門檻 2.0，樣本增加後極可能超過。leoOrb 涵蓋 2019 年起，建議回填多個暴期把樣本做厚後再定版。</w:t>
      </w:r>
    </w:p>
    <w:p>
      <w:pPr>
        <w:spacing w:after="60" w:line="276" w:lineRule="auto"/>
        <w:ind w:left="360"/>
        <w:jc w:val="both"/>
      </w:pPr>
      <w:r>
        <w:rPr>
          <w:rFonts w:ascii="Times New Roman" w:hAnsi="Times New Roman" w:eastAsia="標楷體"/>
          <w:b w:val="0"/>
          <w:i w:val="0"/>
          <w:sz w:val="24"/>
        </w:rPr>
        <w:t>・</w:t>
      </w:r>
      <w:r>
        <w:rPr>
          <w:rFonts w:ascii="Times New Roman" w:hAnsi="Times New Roman" w:eastAsia="標楷體"/>
          <w:b/>
          <w:i w:val="0"/>
          <w:sz w:val="24"/>
        </w:rPr>
        <w:t>單一高度、單一傾角</w:t>
      </w:r>
      <w:r>
        <w:rPr>
          <w:rFonts w:ascii="Times New Roman" w:hAnsi="Times New Roman" w:eastAsia="標楷體"/>
          <w:b w:val="0"/>
          <w:i w:val="0"/>
          <w:sz w:val="24"/>
        </w:rPr>
        <w:t>。550 公里、傾角 24 度。極軌與太陽同步軌道的密度響應是否可沿用同一組門檻，需要另行驗證。</w:t>
      </w:r>
    </w:p>
    <w:p>
      <w:pPr>
        <w:spacing w:after="60" w:line="276" w:lineRule="auto"/>
        <w:ind w:left="360"/>
        <w:jc w:val="both"/>
      </w:pPr>
      <w:r>
        <w:rPr>
          <w:rFonts w:ascii="Times New Roman" w:hAnsi="Times New Roman" w:eastAsia="標楷體"/>
          <w:b w:val="0"/>
          <w:i w:val="0"/>
          <w:sz w:val="24"/>
        </w:rPr>
        <w:t>・</w:t>
      </w:r>
      <w:r>
        <w:rPr>
          <w:rFonts w:ascii="Times New Roman" w:hAnsi="Times New Roman" w:eastAsia="標楷體"/>
          <w:b/>
          <w:i w:val="0"/>
          <w:sz w:val="24"/>
        </w:rPr>
        <w:t>太陽能板可調傾角對 B 的影響未量化</w:t>
      </w:r>
      <w:r>
        <w:rPr>
          <w:rFonts w:ascii="Times New Roman" w:hAnsi="Times New Roman" w:eastAsia="標楷體"/>
          <w:b w:val="0"/>
          <w:i w:val="0"/>
          <w:sz w:val="24"/>
        </w:rPr>
        <w:t>。取比值時假設 B 在比較窗內固定；板角隨 β 角變化的週期是數月，故短窗（數日）內應可接受，但未實測。</w:t>
      </w:r>
    </w:p>
    <w:p>
      <w:pPr>
        <w:spacing w:after="60" w:line="276" w:lineRule="auto"/>
        <w:ind w:left="360"/>
        <w:jc w:val="both"/>
      </w:pPr>
      <w:r>
        <w:rPr>
          <w:rFonts w:ascii="Times New Roman" w:hAnsi="Times New Roman" w:eastAsia="標楷體"/>
          <w:b w:val="0"/>
          <w:i w:val="0"/>
          <w:sz w:val="24"/>
        </w:rPr>
        <w:t>・</w:t>
      </w:r>
      <w:r>
        <w:rPr>
          <w:rFonts w:ascii="Times New Roman" w:hAnsi="Times New Roman" w:eastAsia="標楷體"/>
          <w:b/>
          <w:i w:val="0"/>
          <w:sz w:val="24"/>
        </w:rPr>
        <w:t>觀測與模式兩條基線之間的常數偏移未確定</w:t>
      </w:r>
      <w:r>
        <w:rPr>
          <w:rFonts w:ascii="Times New Roman" w:hAnsi="Times New Roman" w:eastAsia="標楷體"/>
          <w:b w:val="0"/>
          <w:i w:val="0"/>
          <w:sz w:val="24"/>
        </w:rPr>
        <w:t>。目前只敢宣稱單調趨勢。要能宣稱絕對偏差，需要獨立的絕對密度校準來源。</w:t>
      </w:r>
    </w:p>
    <w:p>
      <w:pPr>
        <w:spacing w:after="60" w:line="276" w:lineRule="auto"/>
        <w:ind w:left="360"/>
        <w:jc w:val="both"/>
      </w:pPr>
      <w:r>
        <w:rPr>
          <w:rFonts w:ascii="Times New Roman" w:hAnsi="Times New Roman" w:eastAsia="標楷體"/>
          <w:b w:val="0"/>
          <w:i w:val="0"/>
          <w:sz w:val="24"/>
        </w:rPr>
        <w:t>・</w:t>
      </w:r>
      <w:r>
        <w:rPr>
          <w:rFonts w:ascii="Times New Roman" w:hAnsi="Times New Roman" w:eastAsia="標楷體"/>
          <w:b/>
          <w:i w:val="0"/>
          <w:sz w:val="24"/>
        </w:rPr>
        <w:t>尾隨特性的作業意涵</w:t>
      </w:r>
      <w:r>
        <w:rPr>
          <w:rFonts w:ascii="Times New Roman" w:hAnsi="Times New Roman" w:eastAsia="標楷體"/>
          <w:b w:val="0"/>
          <w:i w:val="0"/>
          <w:sz w:val="24"/>
        </w:rPr>
        <w:t>。衰減率標在 t 的值描述 t−6h 到 t，不適合當暴起始指標。與 Kp 組並用是否為最佳配置，值得討論。</w:t>
      </w:r>
    </w:p>
    <w:p>
      <w:pPr>
        <w:spacing w:after="60" w:line="276" w:lineRule="auto"/>
        <w:ind w:left="360"/>
        <w:jc w:val="both"/>
      </w:pPr>
      <w:r>
        <w:rPr>
          <w:rFonts w:ascii="Times New Roman" w:hAnsi="Times New Roman" w:eastAsia="標楷體"/>
          <w:b w:val="0"/>
          <w:i w:val="0"/>
          <w:sz w:val="24"/>
        </w:rPr>
        <w:t>・</w:t>
      </w:r>
      <w:r>
        <w:rPr>
          <w:rFonts w:ascii="Times New Roman" w:hAnsi="Times New Roman" w:eastAsia="標楷體"/>
          <w:b/>
          <w:i w:val="0"/>
          <w:sz w:val="24"/>
        </w:rPr>
        <w:t>是否要把 RHO_RATIO（觀測／模式）列為正式交付參數</w:t>
      </w:r>
      <w:r>
        <w:rPr>
          <w:rFonts w:ascii="Times New Roman" w:hAnsi="Times New Roman" w:eastAsia="標楷體"/>
          <w:b w:val="0"/>
          <w:i w:val="0"/>
          <w:sz w:val="24"/>
        </w:rPr>
        <w:t>。目前由分析工具算出、未入庫。若入庫則須決定基線窗的預設值。</w:t>
      </w:r>
    </w:p>
    <w:p>
      <w:pPr>
        <w:spacing w:after="60" w:line="276" w:lineRule="auto"/>
        <w:ind w:left="360"/>
        <w:jc w:val="both"/>
      </w:pPr>
      <w:r>
        <w:rPr>
          <w:rFonts w:ascii="Times New Roman" w:hAnsi="Times New Roman" w:eastAsia="標楷體"/>
          <w:b w:val="0"/>
          <w:i w:val="0"/>
          <w:sz w:val="24"/>
        </w:rPr>
        <w:t>・</w:t>
      </w:r>
      <w:r>
        <w:rPr>
          <w:rFonts w:ascii="Times New Roman" w:hAnsi="Times New Roman" w:eastAsia="標楷體"/>
          <w:b/>
          <w:i w:val="0"/>
          <w:sz w:val="24"/>
        </w:rPr>
        <w:t>福衛七號資料的正式取用條款</w:t>
      </w:r>
      <w:r>
        <w:rPr>
          <w:rFonts w:ascii="Times New Roman" w:hAnsi="Times New Roman" w:eastAsia="標楷體"/>
          <w:b w:val="0"/>
          <w:i w:val="0"/>
          <w:sz w:val="24"/>
        </w:rPr>
        <w:t>，屬合作夥伴工作項目，投稿前需確認引用方式。</w:t>
      </w:r>
    </w:p>
    <w:p>
      <w:pPr>
        <w:spacing w:after="160" w:line="276" w:lineRule="auto" w:before="280"/>
        <w:jc w:val="left"/>
      </w:pPr>
      <w:r>
        <w:rPr>
          <w:rFonts w:ascii="Times New Roman" w:hAnsi="Times New Roman" w:eastAsia="標楷體"/>
          <w:b/>
          <w:i w:val="0"/>
          <w:sz w:val="30"/>
        </w:rPr>
        <w:t>九、附帶發現：一個不產生錯誤數字、只產生缺失數字的失效</w:t>
      </w:r>
    </w:p>
    <w:p>
      <w:pPr>
        <w:spacing w:after="120" w:line="276" w:lineRule="auto"/>
        <w:jc w:val="both"/>
      </w:pPr>
      <w:r>
        <w:rPr>
          <w:rFonts w:ascii="Times New Roman" w:hAnsi="Times New Roman" w:eastAsia="標楷體"/>
          <w:b w:val="0"/>
          <w:i w:val="0"/>
          <w:sz w:val="24"/>
        </w:rPr>
        <w:t>本次工作中，環境內的 astropy 7.1.1 與 numpy 2.5.0 不相容，其 time 與 coordinates 模組完全無法載入。兩個互相獨立的斷點：numpy 2.0 移除的陣列函式，以及 astropy 跨套件邊界引用的私有符號（numpy 2.5 已改名）。常見的相容墊片只解決第一個。</w:t>
      </w:r>
    </w:p>
    <w:p>
      <w:pPr>
        <w:spacing w:after="120" w:line="276" w:lineRule="auto"/>
        <w:jc w:val="both"/>
      </w:pPr>
      <w:r>
        <w:rPr>
          <w:rFonts w:ascii="Times New Roman" w:hAnsi="Times New Roman" w:eastAsia="標楷體"/>
          <w:b w:val="0"/>
          <w:i w:val="0"/>
          <w:sz w:val="24"/>
        </w:rPr>
        <w:t>更嚴重的是診斷方向被帶偏：某呼叫端攔到 ImportError 後重拋為「請安裝 astropy」，而該套件明明已安裝。實際後果是 TLE 對精密星曆的殘差比對管線無法執行、結果表持續空白且不報錯。</w:t>
      </w:r>
    </w:p>
    <w:p>
      <w:pPr>
        <w:spacing w:after="120" w:line="276" w:lineRule="auto"/>
        <w:jc w:val="both"/>
      </w:pPr>
      <w:r>
        <w:rPr>
          <w:rFonts w:ascii="Times New Roman" w:hAnsi="Times New Roman" w:eastAsia="標楷體"/>
          <w:b w:val="0"/>
          <w:i w:val="0"/>
          <w:sz w:val="24"/>
        </w:rPr>
        <w:t>升級至 astropy 8.0.1 後解決（numpy 未動，其他九個共用套件無回歸）。本專案另實作獨立的 TEME↔ITRF 轉換，以 2,636 個實際軌道點對釘 astropy 8.0.1，平均差 0.081 公尺、最大 0.275 公尺，並將參考值固化為不需連網亦不需該套件的回歸測試。</w:t>
      </w:r>
    </w:p>
    <w:p>
      <w:pPr>
        <w:spacing w:after="160" w:line="276" w:lineRule="auto"/>
        <w:jc w:val="both"/>
      </w:pPr>
      <w:r>
        <w:rPr>
          <w:rFonts w:ascii="Times New Roman" w:hAnsi="Times New Roman" w:eastAsia="標楷體"/>
          <w:b/>
          <w:i w:val="0"/>
          <w:sz w:val="24"/>
        </w:rPr>
        <w:t>建議的一般結論</w:t>
      </w:r>
      <w:r>
        <w:rPr>
          <w:rFonts w:ascii="Times New Roman" w:hAnsi="Times New Roman" w:eastAsia="標楷體"/>
          <w:b w:val="0"/>
          <w:i w:val="0"/>
          <w:sz w:val="24"/>
        </w:rPr>
        <w:t>：相依性驗證應納入作業型太空天氣軟體的資料品質規範，因為這類失效不產生錯的數字，只產生缺的數字——而缺的數字在儀表板上與「平靜」難以區分。這正是本系統把「沒資料」與「沒事」分開的同一個理由。</w:t>
      </w:r>
    </w:p>
    <w:p>
      <w:pPr>
        <w:spacing w:after="160" w:line="276" w:lineRule="auto" w:before="280"/>
        <w:jc w:val="left"/>
      </w:pPr>
      <w:r>
        <w:rPr>
          <w:rFonts w:ascii="Times New Roman" w:hAnsi="Times New Roman" w:eastAsia="標楷體"/>
          <w:b/>
          <w:i w:val="0"/>
          <w:sz w:val="30"/>
        </w:rPr>
        <w:t>十、重現指令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456"/>
          </w:tcPr>
          <w:p>
            <w:r/>
            <w:r>
              <w:rPr>
                <w:rFonts w:ascii="Times New Roman" w:hAnsi="Times New Roman" w:eastAsia="標楷體"/>
                <w:b/>
                <w:i w:val="0"/>
                <w:sz w:val="21"/>
              </w:rPr>
              <w:t>宣稱</w:t>
            </w:r>
          </w:p>
        </w:tc>
        <w:tc>
          <w:tcPr>
            <w:tcW w:type="dxa" w:w="5760"/>
          </w:tcPr>
          <w:p>
            <w:r/>
            <w:r>
              <w:rPr>
                <w:rFonts w:ascii="Times New Roman" w:hAnsi="Times New Roman" w:eastAsia="標楷體"/>
                <w:b/>
                <w:i w:val="0"/>
                <w:sz w:val="21"/>
              </w:rPr>
              <w:t>指令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擷取 leoOrb 並產生兩個參數</w:t>
            </w:r>
          </w:p>
        </w:tc>
        <w:tc>
          <w:tcPr>
            <w:tcW w:type="dxa" w:w="5760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python -m services.ingest.run --source tacc_leoorb --date 2024.140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觀測與模式的密度比較</w:t>
            </w:r>
          </w:p>
        </w:tc>
        <w:tc>
          <w:tcPr>
            <w:tcW w:type="dxa" w:w="5760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python tools/density_obs_vs_model.py --start 2024-04-29 --end 2024-05-20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分級規則行為（含駐留與遲滯）</w:t>
            </w:r>
          </w:p>
        </w:tc>
        <w:tc>
          <w:tcPr>
            <w:tcW w:type="dxa" w:w="5760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python -m pytest tests/test_tacc_leoorb.py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框架轉換對 astropy 的回歸釘樁</w:t>
            </w:r>
          </w:p>
        </w:tc>
        <w:tc>
          <w:tcPr>
            <w:tcW w:type="dxa" w:w="5760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python -m pytest tests/test_frames.py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端到端鏈路與無前視偏差回放</w:t>
            </w:r>
          </w:p>
        </w:tc>
        <w:tc>
          <w:tcPr>
            <w:tcW w:type="dxa" w:w="5760"/>
          </w:tcPr>
          <w:p>
            <w:r/>
            <w:r>
              <w:rPr>
                <w:rFonts w:ascii="Times New Roman" w:hAnsi="Times New Roman" w:eastAsia="標楷體"/>
                <w:b w:val="0"/>
                <w:i w:val="0"/>
                <w:sz w:val="21"/>
              </w:rPr>
              <w:t>python tools/e2e_demo.py --as-of 2024-05-11T00:00Z</w:t>
            </w:r>
          </w:p>
        </w:tc>
      </w:tr>
    </w:tbl>
    <w:p>
      <w:pPr>
        <w:spacing w:after="80" w:line="276" w:lineRule="auto"/>
        <w:jc w:val="both"/>
      </w:pPr>
    </w:p>
    <w:p>
      <w:pPr>
        <w:spacing w:after="120" w:line="276" w:lineRule="auto"/>
        <w:jc w:val="both"/>
      </w:pPr>
      <w:r>
        <w:rPr>
          <w:rFonts w:ascii="Times New Roman" w:hAnsi="Times New Roman" w:eastAsia="標楷體"/>
          <w:b w:val="0"/>
          <w:i w:val="0"/>
          <w:sz w:val="22"/>
        </w:rPr>
        <w:t>leoOrb 為手動或排程來源，排除於背景自動更新之外（單日 1.4–2.2 MB，且需連續多日方能算出衰減率）。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